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0"/>
        <w:tblLayout w:type="fixed"/>
        <w:tblCellMar>
          <w:top w:type="dxa" w:w="0"/>
          <w:left w:type="dxa" w:w="10"/>
          <w:bottom w:type="dxa" w:w="0"/>
          <w:right w:type="dxa" w:w="10"/>
        </w:tblCellMar>
      </w:tblPr>
      <w:tblGrid>
        <w:gridCol w:w="541"/>
        <w:gridCol w:w="1635"/>
        <w:gridCol w:w="2886"/>
        <w:gridCol w:w="2394"/>
        <w:gridCol w:w="687"/>
        <w:gridCol w:w="1498"/>
      </w:tblGrid>
      <w:tr>
        <w:trPr>
          <w:trHeight w:hRule="atLeast" w:val="360"/>
        </w:trPr>
        <w:tc>
          <w:tcPr>
            <w:tcW w:type="dxa" w:w="9641"/>
            <w:gridSpan w:val="6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4"/>
              </w:rPr>
              <w:drawing>
                <wp:inline>
                  <wp:extent cx="571500" cy="723897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tretch/>
                        </pic:blipFill>
                        <pic:spPr>
                          <a:xfrm flipH="false" flipV="false" rot="0">
                            <a:ext cx="571500" cy="7238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2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b w:val="1"/>
                <w:color w:val="000000"/>
                <w:sz w:val="24"/>
              </w:rPr>
              <w:t>АДМИНИСТРАЦИЯ КАШИНСКОГО МУНИЦИПАЛЬНОГО ОКРУГА</w:t>
            </w:r>
          </w:p>
          <w:p w14:paraId="03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b w:val="1"/>
                <w:color w:val="000000"/>
                <w:sz w:val="24"/>
              </w:rPr>
              <w:t>ТВЕРСКОЙ ОБЛАСТИ</w:t>
            </w:r>
          </w:p>
          <w:p w14:paraId="04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b w:val="1"/>
                <w:color w:val="000000"/>
                <w:sz w:val="32"/>
              </w:rPr>
            </w:pPr>
          </w:p>
          <w:p w14:paraId="05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b w:val="1"/>
                <w:color w:val="000000"/>
                <w:sz w:val="32"/>
              </w:rPr>
              <w:t>П О С Т А Н О В Л Е Н И Е</w:t>
            </w:r>
          </w:p>
        </w:tc>
      </w:tr>
      <w:tr>
        <w:trPr>
          <w:trHeight w:hRule="atLeast" w:val="564"/>
        </w:trPr>
        <w:tc>
          <w:tcPr>
            <w:tcW w:type="dxa" w:w="541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6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от</w:t>
            </w:r>
          </w:p>
        </w:tc>
        <w:tc>
          <w:tcPr>
            <w:tcW w:type="dxa" w:w="1635"/>
            <w:tcBorders>
              <w:bottom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7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15.09.2026</w:t>
            </w:r>
          </w:p>
        </w:tc>
        <w:tc>
          <w:tcPr>
            <w:tcW w:type="dxa" w:w="5280"/>
            <w:gridSpan w:val="2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8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г. Кашин</w:t>
            </w:r>
          </w:p>
        </w:tc>
        <w:tc>
          <w:tcPr>
            <w:tcW w:type="dxa" w:w="687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9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№</w:t>
            </w:r>
          </w:p>
        </w:tc>
        <w:tc>
          <w:tcPr>
            <w:tcW w:type="dxa" w:w="1498"/>
            <w:tcBorders>
              <w:bottom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A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color w:val="000000"/>
                <w:sz w:val="28"/>
              </w:rPr>
            </w:pPr>
            <w:r>
              <w:rPr>
                <w:rFonts w:ascii="XO Thames" w:hAnsi="XO Thames"/>
                <w:color w:val="000000"/>
                <w:sz w:val="28"/>
              </w:rPr>
              <w:t>820</w:t>
            </w:r>
          </w:p>
        </w:tc>
      </w:tr>
      <w:tr>
        <w:trPr>
          <w:trHeight w:hRule="atLeast" w:val="360"/>
        </w:trPr>
        <w:tc>
          <w:tcPr>
            <w:tcW w:type="dxa" w:w="9641"/>
            <w:gridSpan w:val="6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color w:val="000000"/>
                <w:sz w:val="28"/>
              </w:rPr>
            </w:pPr>
          </w:p>
        </w:tc>
      </w:tr>
      <w:tr>
        <w:trPr>
          <w:trHeight w:hRule="atLeast" w:val="615"/>
        </w:trPr>
        <w:tc>
          <w:tcPr>
            <w:tcW w:type="dxa" w:w="5062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 условиях приватизации имущества, находящегося в муниципальной собственности муниципального образования Кашинский муниципальный округ Тверской области, в электронной форме</w:t>
            </w:r>
          </w:p>
        </w:tc>
        <w:tc>
          <w:tcPr>
            <w:tcW w:type="dxa" w:w="4579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00000">
            <w:pPr>
              <w:widowControl w:val="1"/>
              <w:spacing w:after="0" w:line="240" w:lineRule="auto"/>
              <w:ind/>
              <w:jc w:val="both"/>
              <w:rPr>
                <w:rFonts w:ascii="XO Thames" w:hAnsi="XO Thames"/>
                <w:color w:val="000000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/>
        <w:rPr>
          <w:rFonts w:ascii="XO Thames" w:hAnsi="XO Thames"/>
          <w:color w:val="000000"/>
          <w:sz w:val="24"/>
        </w:rPr>
      </w:pPr>
    </w:p>
    <w:p w14:paraId="0F000000">
      <w:pPr>
        <w:widowControl w:val="1"/>
        <w:spacing w:after="0" w:line="240" w:lineRule="auto"/>
        <w:ind/>
        <w:rPr>
          <w:rFonts w:ascii="XO Thames" w:hAnsi="XO Thames"/>
          <w:color w:val="000000"/>
          <w:sz w:val="24"/>
        </w:rPr>
      </w:pPr>
    </w:p>
    <w:p w14:paraId="10000000">
      <w:pPr>
        <w:widowControl w:val="1"/>
        <w:spacing w:after="0" w:line="240" w:lineRule="auto"/>
        <w:ind/>
        <w:rPr>
          <w:rFonts w:ascii="XO Thames" w:hAnsi="XO Thames"/>
          <w:color w:val="000000"/>
          <w:sz w:val="24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Уставом Кашинского муниципального округа Тверской области, Порядком управления и распоряжения имуществом, находящимся в муниципальной собственности муниципального образования Кашинский городской округ Тверской области, утвержденным решением Кашинской городской Думы от 12.02.2019 № 110, прогнозным планом (программой) приватизации муниципального имущества муниципального образования Кашинский муниципального округ Тверской области на 202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–202</w:t>
      </w:r>
      <w:r>
        <w:rPr>
          <w:rFonts w:ascii="Times New Roman" w:hAnsi="Times New Roman"/>
          <w:color w:val="000000"/>
          <w:sz w:val="28"/>
        </w:rPr>
        <w:t>8</w:t>
      </w:r>
      <w:r>
        <w:rPr>
          <w:rFonts w:ascii="Times New Roman" w:hAnsi="Times New Roman"/>
          <w:color w:val="000000"/>
          <w:sz w:val="28"/>
        </w:rPr>
        <w:t xml:space="preserve"> годы, утвержденным решением </w:t>
      </w:r>
      <w:r>
        <w:rPr>
          <w:rFonts w:ascii="Times New Roman" w:hAnsi="Times New Roman"/>
          <w:color w:val="000000"/>
          <w:sz w:val="28"/>
        </w:rPr>
        <w:t xml:space="preserve">Думы </w:t>
      </w:r>
      <w:r>
        <w:rPr>
          <w:rFonts w:ascii="Times New Roman" w:hAnsi="Times New Roman"/>
          <w:color w:val="000000"/>
          <w:sz w:val="28"/>
        </w:rPr>
        <w:t>Кашинско</w:t>
      </w:r>
      <w:r>
        <w:rPr>
          <w:rFonts w:ascii="Times New Roman" w:hAnsi="Times New Roman"/>
          <w:color w:val="000000"/>
          <w:sz w:val="28"/>
        </w:rPr>
        <w:t xml:space="preserve">го муниципального округа Тверской области </w:t>
      </w: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16</w:t>
      </w:r>
      <w:r>
        <w:rPr>
          <w:rFonts w:ascii="Times New Roman" w:hAnsi="Times New Roman"/>
          <w:color w:val="000000"/>
          <w:sz w:val="28"/>
        </w:rPr>
        <w:t>.12.202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 xml:space="preserve"> №</w:t>
      </w:r>
      <w:r>
        <w:rPr>
          <w:rFonts w:ascii="Times New Roman" w:hAnsi="Times New Roman"/>
          <w:color w:val="000000"/>
          <w:sz w:val="28"/>
        </w:rPr>
        <w:t xml:space="preserve"> 191,</w:t>
      </w:r>
      <w:r>
        <w:rPr>
          <w:rFonts w:ascii="Times New Roman" w:hAnsi="Times New Roman"/>
          <w:color w:val="000000"/>
          <w:sz w:val="28"/>
        </w:rPr>
        <w:t xml:space="preserve"> отчетом об оценке объекта оценки, Администрация Кашинского муниципального округа Тверской области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ПОСТАНОВЛЯЕТ: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Приватизировать имущество, находящееся в муниципальной собственности муниципального образования Кашинский муниципальный округ Тверской области, в соответствии с перечнем согласно приложению 1 к настоящему постановлению (далее также — Имущество), путем продажи на аукционе в электронной форме с открытой формой подачи предложений о цене Имущества на Универсальной торговой платформе АО «Сбербанк-АСТ» — utp.sberbank-ast.ru (далее также — аукцион).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Определить:</w:t>
      </w: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2.1. начальную цену продаваемого на аукционе Имущества (далее также — начальная цена продажи Имущества), определенную на основании отчета об оценке объекта оценки, составленного в соответствии с законодательством об оценочной деятельности, согласно приложению 1 к настоящему постановлению;</w:t>
      </w:r>
    </w:p>
    <w:p w14:paraId="1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2.2. задаток на участие в аукционе в размере 10 процентов начальной цены продажи Имущества;</w:t>
      </w:r>
    </w:p>
    <w:p w14:paraId="1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2.3. величину повышения начальной цены («шаг аукциона») в фиксированной сумме, составляющей 5 (пять) процентов начальной цены продажи Имущества (с учетом налога на добавленную стоимость).</w:t>
      </w:r>
    </w:p>
    <w:p w14:paraId="1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Утвердить электронную форму заявки на участие в продаже Имущества (приложение 2 к настоящему постановлению).</w:t>
      </w:r>
    </w:p>
    <w:p w14:paraId="1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 Комитету по управлению имуществом Администрации Кашинского муниципального округа Тверской области осуществить необходимые действия по реализации пункта 1 настоящего постановления. </w:t>
      </w:r>
    </w:p>
    <w:p w14:paraId="1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Денежные средства в счет оплаты Имущества подлежат перечислению победителем аукциона в безналичном порядке в бюджет Кашинского муниципального округа Тверской области в размере и сроки, которые указаны в договоре купли-продажи Имущества, но не позднее 30 рабочих дней со дня заключения такого договора.</w:t>
      </w:r>
    </w:p>
    <w:p w14:paraId="1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6. Информационные сообщения о проведении аукциона по продаже Имущества в электронной форме и об итогах его продажи подлежат размещению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а также на официальном сайте Кашинского муниципального округа Тверской области в информационно-телекоммуникационной сети «Интернет» и на Универсальной торговой платформе АО «Сбербанк-АСТ» — utp.sberbank-ast.ru.</w:t>
      </w:r>
    </w:p>
    <w:p w14:paraId="1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7. Считать настоящее постановление решением об условиях приватизации Имущества.</w:t>
      </w:r>
    </w:p>
    <w:p w14:paraId="1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8. Контроль за исполнением настоящего постановления возложить на </w:t>
      </w:r>
      <w:r>
        <w:t>заместителя Главы Администрации Кашинского муниципального округа Тверской области по безопасности и правовым вопросам, председателя  Комитета по управлению имуществом Администрации Кашинского муниципального округа Тверской области Д.Н. Галяева.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9. Настоящее постановление вступает в силу со дня его подписания и в течение 10 дней со дня вступления его в силу подлежит размещению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а также на официальном сайте Кашинского муниципального округа Тверской области в информационно-телекоммуникационной сети «Интернет».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2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tbl>
      <w:tblPr>
        <w:tblStyle w:val="Style_1"/>
        <w:tblW w:type="auto" w:w="0"/>
        <w:tblInd w:type="dxa" w:w="0"/>
        <w:tblLayout w:type="fixed"/>
        <w:tblCellMar>
          <w:top w:type="dxa" w:w="0"/>
          <w:left w:type="dxa" w:w="10"/>
          <w:bottom w:type="dxa" w:w="0"/>
          <w:right w:type="dxa" w:w="10"/>
        </w:tblCellMar>
      </w:tblPr>
      <w:tblGrid>
        <w:gridCol w:w="6443"/>
        <w:gridCol w:w="3197"/>
      </w:tblGrid>
      <w:tr>
        <w:tc>
          <w:tcPr>
            <w:tcW w:type="dxa" w:w="644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</w:rPr>
              <w:t>лава Кашинского муниципального округа Тверской области</w:t>
            </w:r>
          </w:p>
        </w:tc>
        <w:tc>
          <w:tcPr>
            <w:tcW w:type="dxa" w:w="3197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400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.В. </w:t>
            </w:r>
            <w:r>
              <w:rPr>
                <w:rFonts w:ascii="Times New Roman" w:hAnsi="Times New Roman"/>
                <w:color w:val="000000"/>
                <w:sz w:val="28"/>
              </w:rPr>
              <w:t>Рагузин</w:t>
            </w:r>
          </w:p>
        </w:tc>
      </w:tr>
    </w:tbl>
    <w:p w14:paraId="25000000">
      <w:pPr>
        <w:widowControl w:val="1"/>
        <w:spacing w:after="0" w:line="240" w:lineRule="auto"/>
        <w:ind/>
        <w:rPr>
          <w:rFonts w:ascii="XO Thames" w:hAnsi="XO Thames"/>
          <w:color w:val="000000"/>
          <w:sz w:val="24"/>
        </w:rPr>
      </w:pPr>
    </w:p>
    <w:p w14:paraId="26000000">
      <w:pPr>
        <w:widowControl w:val="1"/>
        <w:spacing w:after="0" w:line="240" w:lineRule="auto"/>
        <w:ind w:firstLine="5" w:left="297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 1</w:t>
      </w:r>
    </w:p>
    <w:p w14:paraId="27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Администрации</w:t>
      </w:r>
    </w:p>
    <w:p w14:paraId="28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Кашинского муниципального округа Тверской области</w:t>
      </w:r>
    </w:p>
    <w:p w14:paraId="29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15.09.2026</w:t>
      </w:r>
      <w:r>
        <w:rPr>
          <w:rFonts w:ascii="Times New Roman" w:hAnsi="Times New Roman"/>
          <w:sz w:val="24"/>
        </w:rPr>
        <w:t xml:space="preserve"> № 820</w:t>
      </w:r>
      <w:r>
        <w:rPr>
          <w:rFonts w:ascii="Times New Roman" w:hAnsi="Times New Roman"/>
          <w:sz w:val="24"/>
        </w:rPr>
        <w:t xml:space="preserve"> </w:t>
      </w:r>
    </w:p>
    <w:p w14:paraId="2A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</w:p>
    <w:p w14:paraId="2B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</w:p>
    <w:p w14:paraId="2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</w:t>
      </w:r>
    </w:p>
    <w:p w14:paraId="2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имущества, находящегося в муниципальной собственности муниципального образования </w:t>
      </w:r>
    </w:p>
    <w:p w14:paraId="2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Кашинский муниципальный округ Тверской области, подлежащего приватизации</w:t>
      </w:r>
    </w:p>
    <w:p w14:paraId="2F000000">
      <w:pPr>
        <w:widowControl w:val="1"/>
        <w:spacing w:after="0" w:line="240" w:lineRule="auto"/>
        <w:ind/>
        <w:rPr>
          <w:rFonts w:ascii="XO Thames" w:hAnsi="XO Thames"/>
          <w:color w:val="000000"/>
          <w:sz w:val="24"/>
        </w:rPr>
      </w:pPr>
    </w:p>
    <w:tbl>
      <w:tblPr>
        <w:tblStyle w:val="Style_1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1"/>
        <w:gridCol w:w="2128"/>
        <w:gridCol w:w="2401"/>
        <w:gridCol w:w="2709"/>
        <w:gridCol w:w="1841"/>
      </w:tblGrid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 п/п</w:t>
            </w:r>
          </w:p>
        </w:tc>
        <w:tc>
          <w:tcPr>
            <w:tcW w:type="dxa" w:w="2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Наименование объекта</w:t>
            </w:r>
          </w:p>
        </w:tc>
        <w:tc>
          <w:tcPr>
            <w:tcW w:type="dxa" w:w="2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Адрес (местонахождение) объекта</w:t>
            </w:r>
          </w:p>
        </w:tc>
        <w:tc>
          <w:tcPr>
            <w:tcW w:type="dxa" w:w="2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Индивидуализирующие характеристики объекта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Начальная цена продаваемого на аукционе Имущества, (с НДС) руб.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rPr>
                <w:sz w:val="22"/>
              </w:rPr>
            </w:pPr>
          </w:p>
        </w:tc>
        <w:tc>
          <w:tcPr>
            <w:tcW w:type="dxa" w:w="2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spacing w:after="0" w:line="240" w:lineRule="auto"/>
              <w:ind w:left="-77"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Нежилое помещение</w:t>
            </w:r>
          </w:p>
        </w:tc>
        <w:tc>
          <w:tcPr>
            <w:tcW w:type="dxa" w:w="2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widowControl w:val="1"/>
              <w:ind w:firstLine="0" w:left="-57"/>
              <w:jc w:val="left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Тверская область, </w:t>
            </w:r>
            <w:r>
              <w:rPr>
                <w:rFonts w:ascii="Times New Roman" w:hAnsi="Times New Roman"/>
                <w:color w:val="000000"/>
                <w:sz w:val="22"/>
              </w:rPr>
              <w:t>Кашинский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муниципальный округ, деревня </w:t>
            </w:r>
            <w:r>
              <w:rPr>
                <w:rFonts w:ascii="Times New Roman" w:hAnsi="Times New Roman"/>
                <w:color w:val="000000"/>
                <w:sz w:val="22"/>
              </w:rPr>
              <w:t>Леушино</w:t>
            </w:r>
            <w:r>
              <w:rPr>
                <w:rFonts w:ascii="Times New Roman" w:hAnsi="Times New Roman"/>
                <w:color w:val="000000"/>
                <w:sz w:val="22"/>
              </w:rPr>
              <w:t>, дом 44, помещение 5</w:t>
            </w:r>
          </w:p>
        </w:tc>
        <w:tc>
          <w:tcPr>
            <w:tcW w:type="dxa" w:w="2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1"/>
              <w:spacing w:after="0" w:line="240" w:lineRule="auto"/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Назначение: </w:t>
            </w:r>
            <w:r>
              <w:rPr>
                <w:rFonts w:ascii="Times New Roman" w:hAnsi="Times New Roman"/>
                <w:color w:val="000000"/>
                <w:sz w:val="22"/>
              </w:rPr>
              <w:t>нежилое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Кадастровый номер помещения: 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69:12:0240601:403 </w:t>
            </w:r>
          </w:p>
          <w:p w14:paraId="39000000">
            <w:pPr>
              <w:widowControl w:val="1"/>
              <w:spacing w:after="0" w:line="240" w:lineRule="auto"/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Площадь: 27,5 м</w:t>
            </w:r>
            <w:r>
              <w:rPr>
                <w:rFonts w:ascii="Times New Roman" w:hAnsi="Times New Roman"/>
                <w:color w:val="000000"/>
                <w:sz w:val="22"/>
                <w:vertAlign w:val="superscript"/>
              </w:rPr>
              <w:t xml:space="preserve">2   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100 000,00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2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widowControl w:val="1"/>
              <w:spacing w:after="0" w:line="240" w:lineRule="auto"/>
              <w:ind w:left="-77"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Нежило</w:t>
            </w:r>
            <w:r>
              <w:rPr>
                <w:rFonts w:ascii="Times New Roman" w:hAnsi="Times New Roman"/>
                <w:color w:val="000000"/>
                <w:sz w:val="22"/>
              </w:rPr>
              <w:t>е здание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2"/>
              </w:rPr>
              <w:t>кожевенный цех) с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земельным участком</w:t>
            </w:r>
          </w:p>
          <w:p w14:paraId="3D000000">
            <w:pPr>
              <w:widowControl w:val="1"/>
              <w:ind w:left="-77"/>
              <w:jc w:val="left"/>
              <w:rPr>
                <w:sz w:val="22"/>
              </w:rPr>
            </w:pPr>
          </w:p>
        </w:tc>
        <w:tc>
          <w:tcPr>
            <w:tcW w:type="dxa" w:w="2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widowControl w:val="1"/>
              <w:ind w:firstLine="0" w:left="-57"/>
              <w:jc w:val="left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Тверская область, Кашинский муниципальный округ, деревня Верхняя Троица</w:t>
            </w:r>
          </w:p>
        </w:tc>
        <w:tc>
          <w:tcPr>
            <w:tcW w:type="dxa" w:w="2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widowControl w:val="1"/>
              <w:spacing w:after="0" w:line="240" w:lineRule="auto"/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Назначение: нежилое Кадастровый номер</w:t>
            </w:r>
            <w:r>
              <w:rPr>
                <w:rFonts w:ascii="Times New Roman" w:hAnsi="Times New Roman"/>
                <w:color w:val="000000"/>
                <w:sz w:val="22"/>
              </w:rPr>
              <w:t>: 69:12:0220101:484 Площадь здания: 457,8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</w:rPr>
              <w:t>м</w:t>
            </w:r>
            <w:r>
              <w:rPr>
                <w:rFonts w:ascii="Times New Roman" w:hAnsi="Times New Roman"/>
                <w:color w:val="000000"/>
                <w:sz w:val="22"/>
                <w:vertAlign w:val="superscript"/>
              </w:rPr>
              <w:t xml:space="preserve">2   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Кадастровый номер земельного участка: </w:t>
            </w:r>
            <w:r>
              <w:rPr>
                <w:rFonts w:ascii="Times New Roman" w:hAnsi="Times New Roman"/>
                <w:color w:val="000000"/>
                <w:sz w:val="22"/>
              </w:rPr>
              <w:t>69:12:0000022:</w:t>
            </w:r>
            <w:r>
              <w:rPr>
                <w:rFonts w:ascii="Times New Roman" w:hAnsi="Times New Roman"/>
                <w:color w:val="000000"/>
                <w:sz w:val="22"/>
              </w:rPr>
              <w:t>599</w:t>
            </w:r>
          </w:p>
          <w:p w14:paraId="40000000">
            <w:pPr>
              <w:widowControl w:val="1"/>
              <w:spacing w:after="0" w:line="240" w:lineRule="auto"/>
              <w:ind/>
              <w:jc w:val="lef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Площадь земельного участка: 605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</w:rPr>
              <w:t>м</w:t>
            </w:r>
            <w:r>
              <w:rPr>
                <w:rFonts w:ascii="Times New Roman" w:hAnsi="Times New Roman"/>
                <w:color w:val="000000"/>
                <w:sz w:val="22"/>
                <w:vertAlign w:val="superscript"/>
              </w:rPr>
              <w:t xml:space="preserve">2   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Категория земель: </w:t>
            </w:r>
            <w:r>
              <w:rPr>
                <w:rFonts w:ascii="Times New Roman" w:hAnsi="Times New Roman"/>
                <w:color w:val="000000"/>
                <w:sz w:val="22"/>
              </w:rPr>
              <w:t>Земли сельскохозяйственного назначения,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Вид разрешенного использования: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</w:rPr>
              <w:t>Животноводство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rPr>
                <w:sz w:val="22"/>
              </w:rPr>
            </w:pPr>
            <w:r>
              <w:rPr>
                <w:sz w:val="22"/>
              </w:rPr>
              <w:t>200 000,00</w:t>
            </w:r>
          </w:p>
        </w:tc>
      </w:tr>
    </w:tbl>
    <w:p w14:paraId="42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3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4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5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6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7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8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9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A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B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C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D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E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4F000000">
      <w:pPr>
        <w:widowControl w:val="1"/>
        <w:spacing w:after="0" w:line="240" w:lineRule="auto"/>
        <w:ind w:firstLine="5"/>
        <w:jc w:val="both"/>
        <w:rPr>
          <w:rFonts w:ascii="Times New Roman" w:hAnsi="Times New Roman"/>
          <w:sz w:val="24"/>
        </w:rPr>
      </w:pPr>
    </w:p>
    <w:p w14:paraId="50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 2</w:t>
      </w:r>
    </w:p>
    <w:p w14:paraId="51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Администрации</w:t>
      </w:r>
    </w:p>
    <w:p w14:paraId="52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Кашинского муниципального округа Тверской области</w:t>
      </w:r>
    </w:p>
    <w:p w14:paraId="53000000">
      <w:pPr>
        <w:widowControl w:val="1"/>
        <w:spacing w:after="0" w:line="240" w:lineRule="auto"/>
        <w:ind w:firstLine="5"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т 15.09.2026</w:t>
      </w:r>
      <w:r>
        <w:rPr>
          <w:rFonts w:ascii="Times New Roman" w:hAnsi="Times New Roman"/>
          <w:sz w:val="24"/>
        </w:rPr>
        <w:t xml:space="preserve"> № 820</w:t>
      </w:r>
      <w:r>
        <w:rPr>
          <w:rFonts w:ascii="Times New Roman" w:hAnsi="Times New Roman"/>
          <w:sz w:val="24"/>
        </w:rPr>
        <w:t xml:space="preserve"> </w:t>
      </w:r>
    </w:p>
    <w:p w14:paraId="54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55000000">
      <w:pPr>
        <w:widowControl w:val="1"/>
        <w:spacing w:after="0" w:line="240" w:lineRule="auto"/>
        <w:ind w:left="567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Организатору торгов (Продавцу): </w:t>
      </w:r>
      <w:r>
        <w:rPr>
          <w:rFonts w:ascii="Times New Roman" w:hAnsi="Times New Roman"/>
          <w:color w:val="000000"/>
          <w:sz w:val="24"/>
        </w:rPr>
        <w:t>Комитету по управлению имуществом Администрации Кашинского муниципального округа Тверской области</w:t>
      </w:r>
    </w:p>
    <w:p w14:paraId="56000000">
      <w:pPr>
        <w:widowControl w:val="1"/>
        <w:spacing w:after="0" w:line="240" w:lineRule="auto"/>
        <w:ind/>
        <w:rPr>
          <w:rFonts w:ascii="Times New Roman" w:hAnsi="Times New Roman"/>
          <w:spacing w:val="100"/>
          <w:sz w:val="24"/>
        </w:rPr>
      </w:pPr>
    </w:p>
    <w:p w14:paraId="5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ЗАЯВКА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на участие в аукционе в электронной форме по продаже муниципального имущества муниципального образования Кашинский муниципальный округ Тверской области</w:t>
      </w:r>
    </w:p>
    <w:p w14:paraId="58000000">
      <w:pPr>
        <w:widowControl w:val="1"/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1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253"/>
        <w:gridCol w:w="8387"/>
      </w:tblGrid>
      <w:tr>
        <w:tc>
          <w:tcPr>
            <w:tcW w:type="dxa" w:w="125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rPr>
                <w:sz w:val="18"/>
              </w:rPr>
            </w:pPr>
            <w:r>
              <w:rPr>
                <w:b w:val="1"/>
                <w:sz w:val="18"/>
              </w:rPr>
              <w:t>Претендент</w:t>
            </w:r>
          </w:p>
        </w:tc>
        <w:tc>
          <w:tcPr>
            <w:tcW w:type="dxa" w:w="838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5A000000">
      <w:pPr>
        <w:widowControl w:val="1"/>
        <w:spacing w:after="0" w:line="240" w:lineRule="auto"/>
        <w:ind w:left="113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 xml:space="preserve">фамилия, имя, отчество (при наличии) физического лица или ИП или полное наименование </w:t>
      </w:r>
    </w:p>
    <w:p w14:paraId="5B000000">
      <w:pPr>
        <w:widowControl w:val="1"/>
        <w:spacing w:after="0" w:line="240" w:lineRule="auto"/>
        <w:ind w:left="113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юридического лица с указанием организационно-правовой формы, подающего заявку</w:t>
      </w:r>
      <w:r>
        <w:rPr>
          <w:rFonts w:ascii="Times New Roman" w:hAnsi="Times New Roman"/>
          <w:sz w:val="20"/>
        </w:rPr>
        <w:t>)</w:t>
      </w:r>
    </w:p>
    <w:tbl>
      <w:tblPr>
        <w:tblStyle w:val="Style_1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80"/>
        <w:gridCol w:w="4958"/>
      </w:tblGrid>
      <w:tr>
        <w:tc>
          <w:tcPr>
            <w:tcW w:type="dxa" w:w="963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46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 xml:space="preserve">далее также — Претендент) </w:t>
            </w:r>
            <w:r>
              <w:rPr>
                <w:b w:val="1"/>
                <w:sz w:val="18"/>
              </w:rPr>
              <w:t>в лице представителя</w:t>
            </w:r>
          </w:p>
        </w:tc>
        <w:tc>
          <w:tcPr>
            <w:tcW w:type="dxa" w:w="495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5E000000">
      <w:pPr>
        <w:widowControl w:val="1"/>
        <w:spacing w:after="0" w:line="240" w:lineRule="auto"/>
        <w:ind w:left="482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 xml:space="preserve">фамилия, имя, отчество (при наличии) </w:t>
      </w:r>
    </w:p>
    <w:p w14:paraId="5F000000">
      <w:pPr>
        <w:widowControl w:val="1"/>
        <w:spacing w:after="0" w:line="240" w:lineRule="auto"/>
        <w:ind w:left="482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представителя Претендента)</w:t>
      </w:r>
    </w:p>
    <w:p w14:paraId="60000000">
      <w:pPr>
        <w:widowControl w:val="1"/>
        <w:spacing w:after="0" w:before="12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>действующий на основании</w:t>
      </w:r>
      <w:r>
        <w:rPr>
          <w:rFonts w:ascii="XO Thames" w:hAnsi="XO Thames"/>
          <w:b w:val="1"/>
          <w:color w:val="000000"/>
          <w:sz w:val="20"/>
          <w:vertAlign w:val="superscript"/>
        </w:rPr>
        <w:footnoteReference w:id="1"/>
      </w:r>
      <w:r>
        <w:rPr>
          <w:rFonts w:ascii="Times New Roman" w:hAnsi="Times New Roman"/>
          <w:sz w:val="20"/>
        </w:rPr>
        <w:t>_____________________________________________________________________</w:t>
      </w:r>
    </w:p>
    <w:p w14:paraId="61000000">
      <w:pPr>
        <w:widowControl w:val="1"/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(Устава, Положения, приказа и т.д.)</w:t>
      </w:r>
    </w:p>
    <w:p w14:paraId="62000000">
      <w:pPr>
        <w:widowControl w:val="1"/>
        <w:spacing w:after="0" w:before="12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 xml:space="preserve"> (заполняется физическим лицом, индивидуальным предпринимателем)</w:t>
      </w:r>
    </w:p>
    <w:tbl>
      <w:tblPr>
        <w:tblStyle w:val="Style_1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910"/>
        <w:gridCol w:w="5966"/>
      </w:tblGrid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Паспортные данные (серия, номер, дата выдачи, кем выдан):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Адрес регистрации по месту жительства: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Адрес регистрации по месту пребывания: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Контактный телефон: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Электронная почта: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Дата регистрации в качестве индивидуального предпринимателя: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ОГРН индивидуального предпринимателя: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rPr>
                <w:b w:val="1"/>
                <w:i w:val="1"/>
                <w:sz w:val="24"/>
              </w:rPr>
            </w:pPr>
          </w:p>
        </w:tc>
      </w:tr>
    </w:tbl>
    <w:p w14:paraId="71000000">
      <w:pPr>
        <w:widowControl w:val="1"/>
        <w:spacing w:after="0" w:before="12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>(заполняется юридическим лицом)</w:t>
      </w:r>
    </w:p>
    <w:tbl>
      <w:tblPr>
        <w:tblStyle w:val="Style_1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910"/>
        <w:gridCol w:w="5966"/>
      </w:tblGrid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Адрес местонахождения: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Почтовый адрес: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Контактный телефон: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Электронная почта: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ОГРН: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ИНН: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</w:tbl>
    <w:p w14:paraId="7E000000">
      <w:pPr>
        <w:widowControl w:val="1"/>
        <w:spacing w:after="0" w:before="120" w:line="240" w:lineRule="auto"/>
        <w:ind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(для представителя Претендента</w:t>
      </w:r>
      <w:r>
        <w:rPr>
          <w:rFonts w:ascii="XO Thames" w:hAnsi="XO Thames"/>
          <w:b w:val="1"/>
          <w:color w:val="000000"/>
          <w:sz w:val="20"/>
          <w:vertAlign w:val="superscript"/>
        </w:rPr>
        <w:footnoteReference w:id="2"/>
      </w:r>
      <w:r>
        <w:rPr>
          <w:rFonts w:ascii="Times New Roman" w:hAnsi="Times New Roman"/>
          <w:b w:val="1"/>
          <w:sz w:val="20"/>
        </w:rPr>
        <w:t>)</w:t>
      </w:r>
    </w:p>
    <w:tbl>
      <w:tblPr>
        <w:tblStyle w:val="Style_1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910"/>
        <w:gridCol w:w="5966"/>
      </w:tblGrid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Должность (при наличии), фамилия, имя, отчество (при наличии):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Действует на основании (наименование, дата и номер документа (документов), подтверждающего (подтверждающих) полномочия):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Паспортные данные (серия, номер, дата выдачи, кем выдан):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Адрес регистрации по месту жительства: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Адрес регистрации по месту пребывания: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rPr>
          <w:trHeight w:hRule="atLeast" w:val="217"/>
        </w:trP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Контактный телефон: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rPr>
          <w:trHeight w:hRule="atLeast" w:val="351"/>
        </w:trP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Электронная почта: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</w:tbl>
    <w:p w14:paraId="8D000000">
      <w:pPr>
        <w:widowControl w:val="0"/>
        <w:spacing w:after="0" w:before="120" w:line="240" w:lineRule="auto"/>
        <w:ind/>
        <w:jc w:val="both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принял решение об участии в аукционе по продаже Имущества (лота):</w:t>
      </w:r>
    </w:p>
    <w:tbl>
      <w:tblPr>
        <w:tblStyle w:val="Style_1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910"/>
        <w:gridCol w:w="5966"/>
      </w:tblGrid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Дата аукциона: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Номер лота: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Имущества (лота):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  <w:tr>
        <w:tc>
          <w:tcPr>
            <w:tcW w:type="dxa" w:w="3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Адрес (местонахождение) Имущества (лота):</w:t>
            </w:r>
          </w:p>
        </w:tc>
        <w:tc>
          <w:tcPr>
            <w:tcW w:type="dxa" w:w="59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widowControl w:val="1"/>
              <w:ind/>
              <w:jc w:val="left"/>
              <w:rPr>
                <w:b w:val="1"/>
                <w:i w:val="1"/>
                <w:sz w:val="24"/>
              </w:rPr>
            </w:pPr>
          </w:p>
        </w:tc>
      </w:tr>
    </w:tbl>
    <w:p w14:paraId="9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"/>
        </w:rPr>
      </w:pP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901"/>
        <w:gridCol w:w="762"/>
        <w:gridCol w:w="2110"/>
        <w:gridCol w:w="867"/>
      </w:tblGrid>
      <w:tr>
        <w:tc>
          <w:tcPr>
            <w:tcW w:type="dxa" w:w="590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0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 обязуется обеспечить поступление задатка в размере</w:t>
            </w:r>
          </w:p>
        </w:tc>
        <w:tc>
          <w:tcPr>
            <w:tcW w:type="dxa" w:w="2872"/>
            <w:gridSpan w:val="2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0"/>
              <w:ind/>
              <w:jc w:val="both"/>
              <w:rPr>
                <w:b w:val="1"/>
                <w:i w:val="1"/>
                <w:sz w:val="24"/>
              </w:rPr>
            </w:pPr>
          </w:p>
        </w:tc>
        <w:tc>
          <w:tcPr>
            <w:tcW w:type="dxa" w:w="86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widowControl w:val="0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руб.</w:t>
            </w:r>
          </w:p>
        </w:tc>
      </w:tr>
      <w:tr>
        <w:tc>
          <w:tcPr>
            <w:tcW w:type="dxa" w:w="6663"/>
            <w:gridSpan w:val="2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widowControl w:val="0"/>
              <w:ind/>
              <w:jc w:val="both"/>
              <w:rPr>
                <w:b w:val="1"/>
              </w:rPr>
            </w:pPr>
          </w:p>
        </w:tc>
        <w:tc>
          <w:tcPr>
            <w:tcW w:type="dxa" w:w="2977"/>
            <w:gridSpan w:val="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0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(сумма прописью),</w:t>
            </w:r>
          </w:p>
        </w:tc>
      </w:tr>
    </w:tbl>
    <w:p w14:paraId="9C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в сроки и в порядке установленные в информационном сообщении на указанный лот.</w:t>
      </w:r>
    </w:p>
    <w:p w14:paraId="9D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 Претендент обязуется:</w:t>
      </w:r>
    </w:p>
    <w:p w14:paraId="9E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1.1. соблюдать условия аукциона, проводимого в электронной форме, содержащиеся в информационном сообщении о проведении аукциона, размещенном на официальном сайте Кашинского муниципального округа Тверской области в информационно-телекоммуникационной сети «Интернет» — www.kashin.info и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 — www.torgi.gov.ru, а также порядок проведения аукциона, установленный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860;</w:t>
      </w:r>
    </w:p>
    <w:p w14:paraId="9F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1.2. в случае признания Победителем аукциона заключить с Продавцом договор купли-продажи Имущества не позднее пяти рабочих дней со дня подведения итогов аукциона, в соответствии с порядком и требованиями, установленными в информационном сообщении и договоре купли-продажи Имущества;</w:t>
      </w:r>
    </w:p>
    <w:p w14:paraId="A0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1.3. произвести оплату стоимости Имущества, установленной по результатам аукциона, в сроки и на счет, установленные договором купли-продажи Имущества. </w:t>
      </w:r>
    </w:p>
    <w:p w14:paraId="A1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 Задаток Победителя аукциона засчитывается в счет оплаты приобретаемого Имущества (лота). </w:t>
      </w:r>
    </w:p>
    <w:p w14:paraId="A2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 Претендент извещён о том, что он вправе отозвать настоящую Заявку в порядке и в сроки, установленные в информационном сообщении.</w:t>
      </w:r>
    </w:p>
    <w:p w14:paraId="A3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4. Ответственность за достоверность представленных документов и информации несет Претендент. </w:t>
      </w:r>
    </w:p>
    <w:p w14:paraId="A4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5. Претендент подтверждает, что соответствует требованиям, установленным статьей 5 Федерального закона от 21.12.2001 № 178-ФЗ «О приватизации государственного и муниципального имущества» </w:t>
      </w:r>
      <w:r>
        <w:rPr>
          <w:rFonts w:ascii="Times New Roman" w:hAnsi="Times New Roman"/>
          <w:sz w:val="20"/>
        </w:rPr>
        <w:br/>
      </w:r>
      <w:r>
        <w:rPr>
          <w:rFonts w:ascii="Times New Roman" w:hAnsi="Times New Roman"/>
          <w:sz w:val="20"/>
        </w:rPr>
        <w:t>(далее также — Закон) и не является:</w:t>
      </w:r>
    </w:p>
    <w:p w14:paraId="A5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 государственным и муниципальным унитарным предприятием, государственным и муниципальным учреждением;</w:t>
      </w:r>
    </w:p>
    <w:p w14:paraId="A6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 юридическим лицом, в уставном капитале которого доля Российской Федерации, субъектов Российской Федерации и муниципальных образований превышает 25 процентов, кроме случаев, предусмотренных статьей 25 Закона;</w:t>
      </w:r>
    </w:p>
    <w:p w14:paraId="A7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 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которое не осуществляет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A8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6. 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 Имущества. </w:t>
      </w:r>
    </w:p>
    <w:p w14:paraId="A9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 В соответствии с Федеральным законом от 27.07.2006 № 152-ФЗ «О персональных данных», подавая настоящую Заявку, Претендент дает согласие на обработку персональных данных, указанных в представленных документах и информации в связи с участием в аукционе.</w:t>
      </w:r>
    </w:p>
    <w:p w14:paraId="AA000000">
      <w:pPr>
        <w:widowControl w:val="1"/>
        <w:spacing w:after="0" w:line="240" w:lineRule="auto"/>
        <w:ind/>
        <w:rPr>
          <w:rFonts w:ascii="XO Thames" w:hAnsi="XO Thames"/>
          <w:color w:val="000000"/>
          <w:sz w:val="20"/>
        </w:rPr>
      </w:pPr>
      <w:r>
        <w:rPr>
          <w:rFonts w:ascii="Times New Roman" w:hAnsi="Times New Roman"/>
          <w:b w:val="1"/>
          <w:sz w:val="20"/>
        </w:rPr>
        <w:t>Банковские реквизиты Претендента:</w:t>
      </w:r>
      <w:r>
        <w:rPr>
          <w:rFonts w:ascii="XO Thames" w:hAnsi="XO Thames"/>
          <w:color w:val="000000"/>
          <w:sz w:val="16"/>
        </w:rPr>
        <w:t xml:space="preserve"> ___________________________________________________________________________________________________________________</w:t>
      </w:r>
    </w:p>
    <w:p w14:paraId="AB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color w:val="000000"/>
          <w:sz w:val="20"/>
        </w:rPr>
      </w:pPr>
      <w:r>
        <w:rPr>
          <w:rFonts w:ascii="XO Thames" w:hAnsi="XO Thames"/>
          <w:color w:val="000000"/>
          <w:sz w:val="20"/>
        </w:rPr>
        <w:t>(Ф.И.О. для физического лица или ИП, наименование для юридического лица)</w:t>
      </w:r>
    </w:p>
    <w:tbl>
      <w:tblPr>
        <w:tblStyle w:val="Style_1"/>
        <w:tblW w:type="auto" w:w="0"/>
        <w:tblInd w:type="dxa" w:w="-7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033"/>
        <w:gridCol w:w="689"/>
        <w:gridCol w:w="689"/>
        <w:gridCol w:w="604"/>
        <w:gridCol w:w="774"/>
        <w:gridCol w:w="689"/>
        <w:gridCol w:w="689"/>
        <w:gridCol w:w="689"/>
        <w:gridCol w:w="689"/>
        <w:gridCol w:w="689"/>
        <w:gridCol w:w="689"/>
        <w:gridCol w:w="479"/>
        <w:gridCol w:w="425"/>
      </w:tblGrid>
      <w:tr>
        <w:trPr>
          <w:trHeight w:hRule="atLeast" w:val="187"/>
        </w:trPr>
        <w:tc>
          <w:tcPr>
            <w:tcW w:type="dxa" w:w="2033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  <w:r>
              <w:rPr>
                <w:rFonts w:ascii="XO Thames" w:hAnsi="XO Thames"/>
                <w:color w:val="000000"/>
                <w:sz w:val="20"/>
              </w:rPr>
              <w:t xml:space="preserve">ИНН </w:t>
            </w:r>
            <w:r>
              <w:rPr>
                <w:rFonts w:ascii="XO Thames" w:hAnsi="XO Thames"/>
                <w:color w:val="000000"/>
                <w:sz w:val="19"/>
              </w:rPr>
              <w:t>Претендента</w:t>
            </w: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04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774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7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25"/>
            <w:tcBorders>
              <w:top w:color="C0C0C0" w:sz="6" w:val="single"/>
              <w:left w:color="C0C0C0" w:sz="6" w:val="single"/>
              <w:bottom w:color="C0C0C0" w:sz="6" w:val="single"/>
              <w:right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</w:tr>
      <w:tr>
        <w:trPr>
          <w:trHeight w:hRule="atLeast" w:val="244"/>
        </w:trPr>
        <w:tc>
          <w:tcPr>
            <w:tcW w:type="dxa" w:w="2033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  <w:r>
              <w:rPr>
                <w:rFonts w:ascii="XO Thames" w:hAnsi="XO Thames"/>
                <w:color w:val="000000"/>
                <w:sz w:val="20"/>
              </w:rPr>
              <w:t>КПП</w:t>
            </w:r>
            <w:r>
              <w:rPr>
                <w:rFonts w:ascii="XO Thames" w:hAnsi="XO Thames"/>
                <w:color w:val="000000"/>
                <w:sz w:val="20"/>
                <w:vertAlign w:val="superscript"/>
              </w:rPr>
              <w:t xml:space="preserve"> </w:t>
            </w:r>
            <w:r>
              <w:rPr>
                <w:rFonts w:ascii="XO Thames" w:hAnsi="XO Thames"/>
                <w:color w:val="000000"/>
                <w:sz w:val="19"/>
              </w:rPr>
              <w:t>Претендента</w:t>
            </w: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04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774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68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79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25"/>
            <w:tcBorders>
              <w:top w:color="C0C0C0" w:sz="6" w:val="single"/>
              <w:left w:color="C0C0C0" w:sz="6" w:val="single"/>
              <w:bottom w:color="C0C0C0" w:sz="6" w:val="single"/>
              <w:right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</w:tr>
    </w:tbl>
    <w:p w14:paraId="C6000000">
      <w:pPr>
        <w:widowControl w:val="1"/>
        <w:spacing w:after="0" w:line="240" w:lineRule="auto"/>
        <w:ind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16"/>
        </w:rPr>
        <w:t>____________________________________________________________________________________________________________________</w:t>
      </w:r>
    </w:p>
    <w:p w14:paraId="C7000000">
      <w:pPr>
        <w:widowControl w:val="1"/>
        <w:spacing w:after="0" w:line="240" w:lineRule="auto"/>
        <w:ind/>
        <w:jc w:val="center"/>
        <w:rPr>
          <w:rFonts w:ascii="XO Thames" w:hAnsi="XO Thames"/>
          <w:b w:val="1"/>
          <w:color w:val="000000"/>
          <w:sz w:val="6"/>
        </w:rPr>
      </w:pPr>
      <w:r>
        <w:rPr>
          <w:rFonts w:ascii="XO Thames" w:hAnsi="XO Thames"/>
          <w:color w:val="000000"/>
          <w:sz w:val="20"/>
        </w:rPr>
        <w:t xml:space="preserve">(Наименование Банка в котором у </w:t>
      </w:r>
      <w:r>
        <w:rPr>
          <w:rFonts w:ascii="XO Thames" w:hAnsi="XO Thames"/>
          <w:color w:val="000000"/>
          <w:sz w:val="19"/>
        </w:rPr>
        <w:t xml:space="preserve">Претендента </w:t>
      </w:r>
      <w:r>
        <w:rPr>
          <w:rFonts w:ascii="XO Thames" w:hAnsi="XO Thames"/>
          <w:color w:val="000000"/>
          <w:sz w:val="20"/>
        </w:rPr>
        <w:t>открыт счет; название города, где находится банк</w:t>
      </w:r>
      <w:r>
        <w:rPr>
          <w:rFonts w:ascii="XO Thames" w:hAnsi="XO Thames"/>
          <w:color w:val="000000"/>
        </w:rPr>
        <w:t>)</w:t>
      </w:r>
    </w:p>
    <w:p w14:paraId="C8000000">
      <w:pPr>
        <w:widowControl w:val="1"/>
        <w:spacing w:after="0" w:line="240" w:lineRule="auto"/>
        <w:ind/>
        <w:jc w:val="both"/>
        <w:rPr>
          <w:rFonts w:ascii="XO Thames" w:hAnsi="XO Thames"/>
          <w:color w:val="000000"/>
          <w:sz w:val="6"/>
        </w:rPr>
      </w:pPr>
    </w:p>
    <w:tbl>
      <w:tblPr>
        <w:tblStyle w:val="Style_1"/>
        <w:tblW w:type="auto" w:w="0"/>
        <w:tblInd w:type="dxa" w:w="11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46"/>
        <w:gridCol w:w="208"/>
        <w:gridCol w:w="228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9"/>
        <w:gridCol w:w="247"/>
        <w:gridCol w:w="141"/>
        <w:gridCol w:w="218"/>
        <w:gridCol w:w="257"/>
        <w:gridCol w:w="189"/>
        <w:gridCol w:w="446"/>
        <w:gridCol w:w="446"/>
        <w:gridCol w:w="446"/>
        <w:gridCol w:w="446"/>
        <w:gridCol w:w="446"/>
        <w:gridCol w:w="492"/>
        <w:gridCol w:w="446"/>
        <w:gridCol w:w="330"/>
        <w:gridCol w:w="283"/>
        <w:gridCol w:w="233"/>
        <w:gridCol w:w="55"/>
      </w:tblGrid>
      <w:tr>
        <w:trPr>
          <w:trHeight w:hRule="atLeast" w:val="224"/>
        </w:trPr>
        <w:tc>
          <w:tcPr>
            <w:tcW w:type="dxa" w:w="1254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widowControl w:val="1"/>
              <w:tabs>
                <w:tab w:leader="none" w:pos="900" w:val="left"/>
              </w:tabs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  <w:r>
              <w:rPr>
                <w:rFonts w:ascii="XO Thames" w:hAnsi="XO Thames"/>
                <w:color w:val="000000"/>
                <w:sz w:val="20"/>
              </w:rPr>
              <w:t>р/с или (л/с)</w:t>
            </w:r>
          </w:p>
        </w:tc>
        <w:tc>
          <w:tcPr>
            <w:tcW w:type="dxa" w:w="444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359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9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330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283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288"/>
            <w:gridSpan w:val="2"/>
            <w:tcBorders>
              <w:top w:color="C0C0C0" w:sz="6" w:val="single"/>
              <w:left w:color="C0C0C0" w:sz="6" w:val="single"/>
              <w:bottom w:color="C0C0C0" w:sz="6" w:val="single"/>
              <w:right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</w:tr>
      <w:tr>
        <w:trPr>
          <w:trHeight w:hRule="atLeast" w:val="239"/>
        </w:trPr>
        <w:tc>
          <w:tcPr>
            <w:tcW w:type="dxa" w:w="1254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widowControl w:val="1"/>
              <w:tabs>
                <w:tab w:leader="none" w:pos="900" w:val="left"/>
              </w:tabs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  <w:r>
              <w:rPr>
                <w:rFonts w:ascii="XO Thames" w:hAnsi="XO Thames"/>
                <w:color w:val="000000"/>
                <w:sz w:val="20"/>
              </w:rPr>
              <w:t>к/с</w:t>
            </w:r>
          </w:p>
        </w:tc>
        <w:tc>
          <w:tcPr>
            <w:tcW w:type="dxa" w:w="444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359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9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330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283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288"/>
            <w:gridSpan w:val="2"/>
            <w:tcBorders>
              <w:top w:color="C0C0C0" w:sz="6" w:val="single"/>
              <w:left w:color="C0C0C0" w:sz="6" w:val="single"/>
              <w:bottom w:color="C0C0C0" w:sz="6" w:val="single"/>
              <w:right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</w:tr>
      <w:tr>
        <w:trPr>
          <w:trHeight w:hRule="atLeast" w:val="224"/>
        </w:trPr>
        <w:tc>
          <w:tcPr>
            <w:tcW w:type="dxa" w:w="10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  <w:r>
              <w:rPr>
                <w:rFonts w:ascii="XO Thames" w:hAnsi="XO Thames"/>
                <w:color w:val="000000"/>
                <w:sz w:val="18"/>
              </w:rPr>
              <w:t>ИНН</w:t>
            </w:r>
          </w:p>
        </w:tc>
        <w:tc>
          <w:tcPr>
            <w:tcW w:type="dxa" w:w="43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3"/>
            <w:gridSpan w:val="2"/>
            <w:tcBorders>
              <w:top w:color="C0C0C0" w:sz="6" w:val="single"/>
              <w:left w:color="C0C0C0" w:sz="6" w:val="single"/>
              <w:bottom w:color="C0C0C0" w:sz="6" w:val="single"/>
              <w:right w:color="C0C0C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3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388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75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0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203"/>
            <w:gridSpan w:val="11"/>
            <w:tcBorders>
              <w:left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55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24"/>
        </w:trPr>
        <w:tc>
          <w:tcPr>
            <w:tcW w:type="dxa" w:w="10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  <w:r>
              <w:rPr>
                <w:rFonts w:ascii="XO Thames" w:hAnsi="XO Thames"/>
                <w:color w:val="000000"/>
                <w:sz w:val="18"/>
              </w:rPr>
              <w:t>БИК</w:t>
            </w:r>
          </w:p>
        </w:tc>
        <w:tc>
          <w:tcPr>
            <w:tcW w:type="dxa" w:w="43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3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3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388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733"/>
            <w:gridSpan w:val="14"/>
            <w:tcBorders>
              <w:left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</w:p>
        </w:tc>
      </w:tr>
      <w:tr>
        <w:trPr>
          <w:trHeight w:hRule="atLeast" w:val="224"/>
        </w:trPr>
        <w:tc>
          <w:tcPr>
            <w:tcW w:type="dxa" w:w="1046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  <w:r>
              <w:rPr>
                <w:rFonts w:ascii="XO Thames" w:hAnsi="XO Thames"/>
                <w:color w:val="000000"/>
                <w:sz w:val="18"/>
              </w:rPr>
              <w:t>КПП</w:t>
            </w:r>
          </w:p>
        </w:tc>
        <w:tc>
          <w:tcPr>
            <w:tcW w:type="dxa" w:w="436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1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3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43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388"/>
            <w:gridSpan w:val="2"/>
            <w:tcBorders>
              <w:top w:color="C0C0C0" w:sz="6" w:val="single"/>
              <w:left w:color="C0C0C0" w:sz="6" w:val="single"/>
              <w:bottom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10000">
            <w:pPr>
              <w:widowControl w:val="1"/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18"/>
              </w:rPr>
            </w:pPr>
          </w:p>
        </w:tc>
        <w:tc>
          <w:tcPr>
            <w:tcW w:type="dxa" w:w="4733"/>
            <w:gridSpan w:val="14"/>
            <w:tcBorders>
              <w:left w:color="C0C0C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1"/>
              <w:spacing w:after="0" w:line="240" w:lineRule="auto"/>
              <w:ind/>
              <w:rPr>
                <w:rFonts w:ascii="XO Thames" w:hAnsi="XO Thames"/>
                <w:color w:val="000000"/>
                <w:sz w:val="18"/>
              </w:rPr>
            </w:pPr>
          </w:p>
        </w:tc>
      </w:tr>
    </w:tbl>
    <w:p w14:paraId="1501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Одновременно с настоящей Заявкой претенденты представляют документы, указанные в статье 16 Закона.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 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950"/>
        <w:gridCol w:w="419"/>
        <w:gridCol w:w="1355"/>
        <w:gridCol w:w="281"/>
        <w:gridCol w:w="5633"/>
      </w:tblGrid>
      <w:tr>
        <w:tc>
          <w:tcPr>
            <w:tcW w:type="dxa" w:w="195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widowControl w:val="1"/>
              <w:ind w:firstLine="0"/>
              <w:jc w:val="left"/>
            </w:pPr>
            <w:r>
              <w:t>Приложение:</w:t>
            </w:r>
          </w:p>
        </w:tc>
        <w:tc>
          <w:tcPr>
            <w:tcW w:type="dxa" w:w="41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widowControl w:val="1"/>
              <w:ind/>
              <w:jc w:val="both"/>
            </w:pPr>
          </w:p>
        </w:tc>
        <w:tc>
          <w:tcPr>
            <w:tcW w:type="dxa" w:w="7269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95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widowControl w:val="1"/>
              <w:ind w:firstLine="567"/>
              <w:jc w:val="both"/>
            </w:pPr>
          </w:p>
        </w:tc>
        <w:tc>
          <w:tcPr>
            <w:tcW w:type="dxa" w:w="41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widowControl w:val="1"/>
              <w:ind/>
              <w:jc w:val="both"/>
            </w:pPr>
          </w:p>
        </w:tc>
        <w:tc>
          <w:tcPr>
            <w:tcW w:type="dxa" w:w="7269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95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widowControl w:val="1"/>
              <w:ind w:firstLine="567"/>
              <w:jc w:val="both"/>
            </w:pPr>
          </w:p>
        </w:tc>
        <w:tc>
          <w:tcPr>
            <w:tcW w:type="dxa" w:w="41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widowControl w:val="1"/>
              <w:ind/>
              <w:jc w:val="both"/>
            </w:pPr>
          </w:p>
        </w:tc>
        <w:tc>
          <w:tcPr>
            <w:tcW w:type="dxa" w:w="7269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95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widowControl w:val="1"/>
              <w:ind/>
              <w:jc w:val="both"/>
            </w:pPr>
          </w:p>
        </w:tc>
        <w:tc>
          <w:tcPr>
            <w:tcW w:type="dxa" w:w="41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widowControl w:val="1"/>
              <w:ind/>
              <w:jc w:val="both"/>
            </w:pPr>
          </w:p>
        </w:tc>
        <w:tc>
          <w:tcPr>
            <w:tcW w:type="dxa" w:w="7269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widowControl w:val="1"/>
              <w:ind/>
              <w:jc w:val="both"/>
            </w:pPr>
          </w:p>
        </w:tc>
      </w:tr>
      <w:tr>
        <w:tc>
          <w:tcPr>
            <w:tcW w:type="dxa" w:w="3724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(должность (при наличии), подпись Претендента (полномочного представителя Претендента))</w:t>
            </w:r>
          </w:p>
        </w:tc>
        <w:tc>
          <w:tcPr>
            <w:tcW w:type="dxa" w:w="28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563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(фамилия, имя, отчество (при наличии))</w:t>
            </w:r>
          </w:p>
        </w:tc>
      </w:tr>
    </w:tbl>
    <w:p w14:paraId="25010000">
      <w:pPr>
        <w:widowControl w:val="1"/>
        <w:spacing w:after="0" w:line="240" w:lineRule="auto"/>
        <w:ind w:left="3969"/>
      </w:pPr>
      <w:r>
        <w:rPr>
          <w:rFonts w:ascii="Times New Roman" w:hAnsi="Times New Roman"/>
          <w:b w:val="1"/>
          <w:sz w:val="20"/>
        </w:rPr>
        <w:t xml:space="preserve">М.П. </w:t>
      </w:r>
      <w:r>
        <w:rPr>
          <w:rFonts w:ascii="Times New Roman" w:hAnsi="Times New Roman"/>
          <w:sz w:val="20"/>
        </w:rPr>
        <w:t>(при наличии)</w:t>
      </w:r>
      <w:r>
        <w:rPr>
          <w:rFonts w:ascii="Times New Roman" w:hAnsi="Times New Roman"/>
          <w:sz w:val="20"/>
        </w:rPr>
        <w:t xml:space="preserve"> «___» ___________ 20___ г.</w:t>
      </w:r>
    </w:p>
    <w:p w14:paraId="26010000">
      <w:pPr>
        <w:widowControl w:val="1"/>
        <w:spacing w:after="0" w:line="240" w:lineRule="auto"/>
        <w:ind/>
        <w:rPr>
          <w:rFonts w:ascii="XO Thames" w:hAnsi="XO Thames"/>
          <w:color w:val="000000"/>
          <w:sz w:val="24"/>
        </w:rPr>
      </w:pPr>
    </w:p>
    <w:p w14:paraId="27010000">
      <w:pPr>
        <w:widowControl w:val="1"/>
        <w:spacing w:after="0" w:line="240" w:lineRule="auto"/>
        <w:ind/>
        <w:rPr>
          <w:rFonts w:ascii="XO Thames" w:hAnsi="XO Thames"/>
          <w:color w:val="000000"/>
          <w:sz w:val="24"/>
        </w:rPr>
      </w:pPr>
    </w:p>
    <w:p w14:paraId="28010000">
      <w:pPr>
        <w:pStyle w:val="Style_2"/>
      </w:pPr>
    </w:p>
    <w:p w14:paraId="29010000">
      <w:pPr>
        <w:pStyle w:val="Style_2"/>
      </w:pPr>
    </w:p>
    <w:p w14:paraId="2A010000">
      <w:pPr>
        <w:pStyle w:val="Style_2"/>
      </w:pPr>
    </w:p>
    <w:sectPr>
      <w:pgSz w:h="16848" w:orient="portrait" w:w="11908"/>
      <w:pgMar w:bottom="1134" w:footer="1134" w:header="1134" w:left="1701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2F01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30010000">
      <w:pPr>
        <w:widowControl w:val="1"/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2B010000">
      <w:pPr>
        <w:widowControl w:val="1"/>
        <w:spacing w:after="0" w:line="240" w:lineRule="auto"/>
        <w:ind/>
      </w:pPr>
      <w:r>
        <w:separator/>
      </w:r>
    </w:p>
  </w:footnote>
  <w:footnote w:id="0" w:type="continuationSeparator">
    <w:p w14:paraId="2C010000">
      <w:pPr>
        <w:widowControl w:val="1"/>
        <w:spacing w:after="0" w:line="240" w:lineRule="auto"/>
        <w:ind/>
      </w:pPr>
      <w:r>
        <w:continuationSeparator/>
      </w:r>
    </w:p>
  </w:footnote>
  <w:footnote w:id="1">
    <w:p w14:paraId="2D010000">
      <w:pPr>
        <w:pStyle w:val="Style_15"/>
      </w:pPr>
      <w:r>
        <w:rPr>
          <w:vertAlign w:val="superscript"/>
        </w:rPr>
        <w:footnoteRef/>
      </w:r>
      <w:r>
        <w:t xml:space="preserve"> </w:t>
      </w:r>
      <w:r>
        <w:t>Заполняется при подаче заявки юридическим лицом</w:t>
      </w:r>
    </w:p>
  </w:footnote>
  <w:footnote w:id="2">
    <w:p w14:paraId="2E010000">
      <w:pPr>
        <w:pStyle w:val="Style_15"/>
      </w:pPr>
      <w:r>
        <w:rPr>
          <w:vertAlign w:val="superscript"/>
        </w:rPr>
        <w:footnoteRef/>
      </w:r>
      <w:r>
        <w:t xml:space="preserve"> </w:t>
      </w:r>
      <w:r>
        <w:t>Заполняется при подаче заявки лицом, действующим по доверенности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</w:pPr>
    <w:rPr>
      <w:sz w:val="28"/>
    </w:rPr>
  </w:style>
  <w:style w:styleId="Style_3_ch" w:type="character">
    <w:name w:val="toc 2"/>
    <w:link w:val="Style_3"/>
    <w:rPr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</w:pPr>
    <w:rPr>
      <w:sz w:val="28"/>
    </w:rPr>
  </w:style>
  <w:style w:styleId="Style_4_ch" w:type="character">
    <w:name w:val="toc 4"/>
    <w:link w:val="Style_4"/>
    <w:rPr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</w:pPr>
    <w:rPr>
      <w:sz w:val="28"/>
    </w:rPr>
  </w:style>
  <w:style w:styleId="Style_5_ch" w:type="character">
    <w:name w:val="toc 6"/>
    <w:link w:val="Style_5"/>
    <w:rPr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</w:pPr>
    <w:rPr>
      <w:sz w:val="28"/>
    </w:rPr>
  </w:style>
  <w:style w:styleId="Style_6_ch" w:type="character">
    <w:name w:val="toc 7"/>
    <w:link w:val="Style_6"/>
    <w:rPr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2"/>
    </w:pPr>
    <w:rPr>
      <w:b w:val="1"/>
      <w:sz w:val="26"/>
    </w:rPr>
  </w:style>
  <w:style w:styleId="Style_8_ch" w:type="character">
    <w:name w:val="heading 3"/>
    <w:link w:val="Style_8"/>
    <w:rPr>
      <w:b w:val="1"/>
      <w:sz w:val="26"/>
    </w:rPr>
  </w:style>
  <w:style w:styleId="Style_9" w:type="paragraph">
    <w:name w:val="Обычный1"/>
    <w:link w:val="Style_9_ch"/>
    <w:rPr>
      <w:sz w:val="28"/>
    </w:rPr>
  </w:style>
  <w:style w:styleId="Style_9_ch" w:type="character">
    <w:name w:val="Обычный1"/>
    <w:link w:val="Style_9"/>
    <w:rPr>
      <w:sz w:val="28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</w:pPr>
    <w:rPr>
      <w:sz w:val="28"/>
    </w:rPr>
  </w:style>
  <w:style w:styleId="Style_10_ch" w:type="character">
    <w:name w:val="toc 3"/>
    <w:link w:val="Style_10"/>
    <w:rPr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4"/>
    </w:pPr>
    <w:rPr>
      <w:b w:val="1"/>
      <w:sz w:val="22"/>
    </w:rPr>
  </w:style>
  <w:style w:styleId="Style_11_ch" w:type="character">
    <w:name w:val="heading 5"/>
    <w:link w:val="Style_11"/>
    <w:rPr>
      <w:b w:val="1"/>
      <w:sz w:val="22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0"/>
    </w:pPr>
    <w:rPr>
      <w:b w:val="1"/>
      <w:sz w:val="32"/>
    </w:rPr>
  </w:style>
  <w:style w:styleId="Style_13_ch" w:type="character">
    <w:name w:val="heading 1"/>
    <w:link w:val="Style_13"/>
    <w:rPr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sz w:val="22"/>
    </w:rPr>
  </w:style>
  <w:style w:styleId="Style_15_ch" w:type="character">
    <w:name w:val="Footnote"/>
    <w:link w:val="Style_15"/>
    <w:rPr>
      <w:sz w:val="22"/>
    </w:rPr>
  </w:style>
  <w:style w:styleId="Style_16" w:type="paragraph">
    <w:name w:val="toc 1"/>
    <w:next w:val="Style_2"/>
    <w:link w:val="Style_16_ch"/>
    <w:uiPriority w:val="39"/>
    <w:rPr>
      <w:b w:val="1"/>
      <w:sz w:val="28"/>
    </w:rPr>
  </w:style>
  <w:style w:styleId="Style_16_ch" w:type="character">
    <w:name w:val="toc 1"/>
    <w:link w:val="Style_16"/>
    <w:rPr>
      <w:b w:val="1"/>
      <w:sz w:val="28"/>
    </w:rPr>
  </w:style>
  <w:style w:styleId="Style_17" w:type="paragraph">
    <w:name w:val="Header and Footer"/>
    <w:link w:val="Style_17_ch"/>
    <w:pPr>
      <w:widowControl w:val="1"/>
      <w:ind/>
      <w:jc w:val="both"/>
    </w:pPr>
    <w:rPr>
      <w:sz w:val="20"/>
    </w:rPr>
  </w:style>
  <w:style w:styleId="Style_17_ch" w:type="character">
    <w:name w:val="Header and Footer"/>
    <w:link w:val="Style_17"/>
    <w:rPr>
      <w:sz w:val="20"/>
    </w:rPr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toc 9"/>
    <w:next w:val="Style_2"/>
    <w:link w:val="Style_19_ch"/>
    <w:uiPriority w:val="39"/>
    <w:pPr>
      <w:widowControl w:val="1"/>
      <w:ind w:firstLine="0" w:left="1600"/>
    </w:pPr>
    <w:rPr>
      <w:sz w:val="28"/>
    </w:rPr>
  </w:style>
  <w:style w:styleId="Style_19_ch" w:type="character">
    <w:name w:val="toc 9"/>
    <w:link w:val="Style_19"/>
    <w:rPr>
      <w:sz w:val="28"/>
    </w:rPr>
  </w:style>
  <w:style w:styleId="Style_20" w:type="paragraph">
    <w:name w:val="toc 8"/>
    <w:next w:val="Style_2"/>
    <w:link w:val="Style_20_ch"/>
    <w:uiPriority w:val="39"/>
    <w:pPr>
      <w:widowControl w:val="1"/>
      <w:ind w:firstLine="0" w:left="1400"/>
    </w:pPr>
    <w:rPr>
      <w:sz w:val="28"/>
    </w:rPr>
  </w:style>
  <w:style w:styleId="Style_20_ch" w:type="character">
    <w:name w:val="toc 8"/>
    <w:link w:val="Style_20"/>
    <w:rPr>
      <w:sz w:val="28"/>
    </w:rPr>
  </w:style>
  <w:style w:styleId="Style_21" w:type="paragraph">
    <w:name w:val="Обычный1"/>
    <w:link w:val="Style_21_ch"/>
    <w:rPr>
      <w:sz w:val="28"/>
    </w:rPr>
  </w:style>
  <w:style w:styleId="Style_21_ch" w:type="character">
    <w:name w:val="Обычный1"/>
    <w:link w:val="Style_21"/>
    <w:rPr>
      <w:sz w:val="28"/>
    </w:rPr>
  </w:style>
  <w:style w:styleId="Style_22" w:type="paragraph">
    <w:name w:val="toc 5"/>
    <w:next w:val="Style_2"/>
    <w:link w:val="Style_22_ch"/>
    <w:uiPriority w:val="39"/>
    <w:pPr>
      <w:widowControl w:val="1"/>
      <w:ind w:firstLine="0" w:left="800"/>
    </w:pPr>
    <w:rPr>
      <w:sz w:val="28"/>
    </w:rPr>
  </w:style>
  <w:style w:styleId="Style_22_ch" w:type="character">
    <w:name w:val="toc 5"/>
    <w:link w:val="Style_22"/>
    <w:rPr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1"/>
      <w:ind/>
      <w:jc w:val="both"/>
    </w:pPr>
    <w:rPr>
      <w:i w:val="1"/>
    </w:rPr>
  </w:style>
  <w:style w:styleId="Style_23_ch" w:type="character">
    <w:name w:val="Subtitle"/>
    <w:link w:val="Style_23"/>
    <w:rPr>
      <w:i w:val="1"/>
    </w:rPr>
  </w:style>
  <w:style w:styleId="Style_24" w:type="paragraph">
    <w:name w:val="Основной шрифт абзаца1"/>
    <w:link w:val="Style_24_ch"/>
  </w:style>
  <w:style w:styleId="Style_24_ch" w:type="character">
    <w:name w:val="Основной шрифт абзаца1"/>
    <w:link w:val="Style_24"/>
  </w:style>
  <w:style w:styleId="Style_25" w:type="paragraph">
    <w:name w:val="Title"/>
    <w:next w:val="Style_2"/>
    <w:link w:val="Style_25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25_ch" w:type="character">
    <w:name w:val="Title"/>
    <w:link w:val="Style_25"/>
    <w:rPr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3"/>
    </w:pPr>
    <w:rPr>
      <w:b w:val="1"/>
    </w:rPr>
  </w:style>
  <w:style w:styleId="Style_26_ch" w:type="character">
    <w:name w:val="heading 4"/>
    <w:link w:val="Style_26"/>
    <w:rPr>
      <w:b w:val="1"/>
    </w:rPr>
  </w:style>
  <w:style w:styleId="Style_27" w:type="paragraph">
    <w:name w:val="heading 2"/>
    <w:next w:val="Style_2"/>
    <w:link w:val="Style_27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1"/>
    </w:pPr>
    <w:rPr>
      <w:b w:val="1"/>
      <w:sz w:val="28"/>
    </w:rPr>
  </w:style>
  <w:style w:styleId="Style_27_ch" w:type="character">
    <w:name w:val="heading 2"/>
    <w:link w:val="Style_27"/>
    <w:rPr>
      <w:b w:val="1"/>
      <w:sz w:val="28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jpeg" Type="http://schemas.openxmlformats.org/officeDocument/2006/relationships/image"/>
  <Relationship Id="rId8" Target="footnotes.xml" Type="http://schemas.openxmlformats.org/officeDocument/2006/relationships/footnot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9" Target="endnotes.xml" Type="http://schemas.openxmlformats.org/officeDocument/2006/relationships/endnotes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2026-09-15T07:12:06Z</dcterms:created>
  <dcterms:modified xsi:type="dcterms:W3CDTF">2026-09-16T10:49:35Z</dcterms:modified>
</cp:coreProperties>
</file>