
<file path=[Content_Types].xml><?xml version="1.0" encoding="utf-8"?>
<Types xmlns="http://schemas.openxmlformats.org/package/2006/content-types">
  <Default ContentType="application/xml" Extension="xml"/>
  <Default ContentType="image/jpeg" Extension="jpe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ind w:firstLine="0" w:left="6096"/>
        <w:jc w:val="right"/>
        <w:rPr>
          <w:sz w:val="22"/>
        </w:rPr>
      </w:pPr>
      <w:r>
        <w:rPr>
          <w:sz w:val="22"/>
        </w:rPr>
        <w:t xml:space="preserve">Приложение </w:t>
      </w:r>
    </w:p>
    <w:p w14:paraId="02000000">
      <w:pPr>
        <w:widowControl w:val="0"/>
        <w:ind w:firstLine="0" w:left="6096"/>
        <w:jc w:val="both"/>
        <w:rPr>
          <w:sz w:val="22"/>
        </w:rPr>
      </w:pPr>
      <w:r>
        <w:rPr>
          <w:sz w:val="22"/>
        </w:rPr>
        <w:t xml:space="preserve">к решению </w:t>
      </w:r>
      <w:r>
        <w:rPr>
          <w:sz w:val="22"/>
        </w:rPr>
        <w:t>Думы Кашинского муниципального округа Тверской области</w:t>
      </w:r>
      <w:r>
        <w:rPr>
          <w:sz w:val="22"/>
        </w:rPr>
        <w:t xml:space="preserve"> </w:t>
      </w:r>
      <w:r>
        <w:rPr>
          <w:sz w:val="22"/>
        </w:rPr>
        <w:t xml:space="preserve">от «_31»_июля 2026 </w:t>
      </w:r>
    </w:p>
    <w:p w14:paraId="03000000">
      <w:pPr>
        <w:widowControl w:val="0"/>
        <w:ind w:firstLine="0" w:left="6096"/>
        <w:jc w:val="both"/>
        <w:rPr>
          <w:sz w:val="22"/>
        </w:rPr>
      </w:pPr>
      <w:r>
        <w:rPr>
          <w:sz w:val="22"/>
        </w:rPr>
        <w:t>№ _226_</w:t>
      </w:r>
    </w:p>
    <w:p w14:paraId="04000000">
      <w:pPr>
        <w:widowControl w:val="0"/>
        <w:ind w:firstLine="0" w:left="6096"/>
        <w:jc w:val="both"/>
        <w:rPr>
          <w:sz w:val="22"/>
        </w:rPr>
      </w:pPr>
    </w:p>
    <w:p w14:paraId="05000000">
      <w:pPr>
        <w:widowControl w:val="0"/>
        <w:ind/>
        <w:jc w:val="center"/>
        <w:rPr>
          <w:sz w:val="22"/>
        </w:rPr>
      </w:pPr>
      <w:r>
        <w:rPr>
          <w:sz w:val="22"/>
        </w:rPr>
        <w:drawing>
          <wp:inline>
            <wp:extent cx="6120130" cy="5875686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6120130" cy="5875686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6000000">
      <w:pPr>
        <w:widowControl w:val="0"/>
        <w:ind w:firstLine="720" w:left="0"/>
        <w:jc w:val="both"/>
        <w:rPr>
          <w:sz w:val="28"/>
        </w:rPr>
      </w:pPr>
    </w:p>
    <w:p w14:paraId="07000000">
      <w:pPr>
        <w:widowControl w:val="0"/>
        <w:ind w:firstLine="720" w:left="0"/>
        <w:jc w:val="both"/>
        <w:rPr>
          <w:sz w:val="28"/>
        </w:rPr>
      </w:pPr>
    </w:p>
    <w:p w14:paraId="08000000">
      <w:pPr>
        <w:keepNext w:val="0"/>
        <w:keepLines w:val="0"/>
        <w:widowControl w:val="0"/>
        <w:spacing w:after="51" w:before="0" w:line="260" w:lineRule="exact"/>
        <w:ind w:firstLine="0" w:left="0" w:right="18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 xml:space="preserve">Описание границ элемента улично-дорожной сети – переулок Спортивный </w:t>
      </w:r>
    </w:p>
    <w:p w14:paraId="09000000">
      <w:pPr>
        <w:keepNext w:val="0"/>
        <w:keepLines w:val="0"/>
        <w:widowControl w:val="0"/>
        <w:spacing w:after="51" w:before="0" w:line="260" w:lineRule="exact"/>
        <w:ind w:firstLine="0" w:left="0" w:right="180"/>
        <w:jc w:val="right"/>
        <w:rPr>
          <w:rFonts w:ascii="Times New Roman" w:hAnsi="Times New Roman"/>
          <w:sz w:val="28"/>
        </w:rPr>
      </w:pPr>
    </w:p>
    <w:p w14:paraId="0A000000">
      <w:pPr>
        <w:keepNext w:val="0"/>
        <w:keepLines w:val="0"/>
        <w:widowControl w:val="0"/>
        <w:spacing w:after="51" w:before="0" w:line="260" w:lineRule="exact"/>
        <w:ind w:firstLine="0" w:left="0" w:right="180"/>
        <w:jc w:val="right"/>
        <w:rPr>
          <w:rFonts w:ascii="Times New Roman" w:hAnsi="Times New Roman"/>
          <w:sz w:val="28"/>
        </w:rPr>
      </w:pPr>
    </w:p>
    <w:p w14:paraId="0B000000">
      <w:pPr>
        <w:widowControl w:val="1"/>
        <w:spacing w:after="0" w:before="0"/>
        <w:ind w:firstLine="709" w:left="0" w:righ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Границы элемента улично‑дорожной сети «переулок Спортивный» определены совокупностью земельных участков, расположенных в кадастровых кварталах 69:41:0010201 и 69:41:0010202, и устанавливаются по внешним контурам следующих земельных участков с указанными кадастровыми номерами:</w:t>
      </w:r>
    </w:p>
    <w:p w14:paraId="0C000000">
      <w:pPr>
        <w:widowControl w:val="1"/>
        <w:numPr>
          <w:ilvl w:val="0"/>
          <w:numId w:val="1"/>
        </w:numPr>
        <w:spacing w:after="0" w:before="0"/>
        <w:ind w:righ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69:41:0010201:173;</w:t>
      </w:r>
    </w:p>
    <w:p w14:paraId="0D000000">
      <w:pPr>
        <w:widowControl w:val="1"/>
        <w:numPr>
          <w:ilvl w:val="0"/>
          <w:numId w:val="2"/>
        </w:numPr>
        <w:spacing w:after="0" w:before="0"/>
        <w:ind w:righ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69:41:0010202:173;</w:t>
      </w:r>
    </w:p>
    <w:p w14:paraId="0E000000">
      <w:pPr>
        <w:widowControl w:val="1"/>
        <w:numPr>
          <w:ilvl w:val="0"/>
          <w:numId w:val="3"/>
        </w:numPr>
        <w:spacing w:after="0" w:before="0"/>
        <w:ind w:righ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69:41:0010202:174;</w:t>
      </w:r>
    </w:p>
    <w:p w14:paraId="0F000000">
      <w:pPr>
        <w:widowControl w:val="1"/>
        <w:numPr>
          <w:ilvl w:val="0"/>
          <w:numId w:val="4"/>
        </w:numPr>
        <w:spacing w:after="0" w:before="0"/>
        <w:ind w:righ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69:41:0010202:172;</w:t>
      </w:r>
    </w:p>
    <w:p w14:paraId="10000000">
      <w:pPr>
        <w:widowControl w:val="1"/>
        <w:numPr>
          <w:ilvl w:val="0"/>
          <w:numId w:val="5"/>
        </w:numPr>
        <w:spacing w:after="0" w:before="0"/>
        <w:ind w:righ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69:41:0010202:181;</w:t>
      </w:r>
    </w:p>
    <w:p w14:paraId="11000000">
      <w:pPr>
        <w:widowControl w:val="1"/>
        <w:numPr>
          <w:ilvl w:val="0"/>
          <w:numId w:val="6"/>
        </w:numPr>
        <w:spacing w:after="0" w:before="0"/>
        <w:ind w:righ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69:41:0010202:182;</w:t>
      </w:r>
    </w:p>
    <w:p w14:paraId="12000000">
      <w:pPr>
        <w:widowControl w:val="1"/>
        <w:numPr>
          <w:ilvl w:val="0"/>
          <w:numId w:val="7"/>
        </w:numPr>
        <w:spacing w:after="0" w:before="0"/>
        <w:ind w:righ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69:41:0010202:178;</w:t>
      </w:r>
    </w:p>
    <w:p w14:paraId="13000000">
      <w:pPr>
        <w:widowControl w:val="1"/>
        <w:numPr>
          <w:ilvl w:val="0"/>
          <w:numId w:val="8"/>
        </w:numPr>
        <w:spacing w:after="0" w:before="0"/>
        <w:ind w:righ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69:41:0010202:180;</w:t>
      </w:r>
    </w:p>
    <w:p w14:paraId="14000000">
      <w:pPr>
        <w:widowControl w:val="1"/>
        <w:numPr>
          <w:ilvl w:val="0"/>
          <w:numId w:val="9"/>
        </w:numPr>
        <w:spacing w:after="0" w:before="0"/>
        <w:ind w:righ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69:41:0010202:177;</w:t>
      </w:r>
    </w:p>
    <w:p w14:paraId="15000000">
      <w:pPr>
        <w:widowControl w:val="1"/>
        <w:numPr>
          <w:ilvl w:val="0"/>
          <w:numId w:val="10"/>
        </w:numPr>
        <w:spacing w:after="0" w:before="0"/>
        <w:ind w:righ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69:41:0010202:179;</w:t>
      </w:r>
    </w:p>
    <w:p w14:paraId="16000000">
      <w:pPr>
        <w:widowControl w:val="1"/>
        <w:numPr>
          <w:ilvl w:val="0"/>
          <w:numId w:val="11"/>
        </w:numPr>
        <w:spacing w:after="0" w:before="0"/>
        <w:ind w:righ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69:41:0010202:175;</w:t>
      </w:r>
    </w:p>
    <w:p w14:paraId="17000000">
      <w:pPr>
        <w:widowControl w:val="1"/>
        <w:numPr>
          <w:ilvl w:val="0"/>
          <w:numId w:val="12"/>
        </w:numPr>
        <w:spacing w:after="0" w:before="0"/>
        <w:ind w:righ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69:41:0010202:282.</w:t>
      </w:r>
    </w:p>
    <w:p w14:paraId="18000000">
      <w:pPr>
        <w:widowControl w:val="1"/>
        <w:spacing w:after="0" w:before="0"/>
        <w:ind w:firstLine="709" w:left="0" w:righ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Граница элемента улично‑дорожной сети проходит по внешним (смежным) границам указанных земельных участков в соответствии с данными Единого государственного реестра недвижимости (ЕГРН). Протяженность и конфигурация переулка соответствуют фактическому расположению участков и сложившейся улично‑дорожной сети территории.</w:t>
      </w:r>
    </w:p>
    <w:p w14:paraId="19000000">
      <w:pPr>
        <w:widowControl w:val="1"/>
        <w:spacing w:after="0" w:before="0"/>
        <w:ind w:firstLine="709" w:left="0" w:righ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Местоположение элемента улично‑дорожной сети определено в границах города Кашин, в непосредственной близости от территории Кондитерского цеха, и обеспечивает транспортную связь между прилегающими кварталами жилой застройки.</w:t>
      </w:r>
    </w:p>
    <w:p w14:paraId="1A000000">
      <w:pPr>
        <w:keepNext w:val="0"/>
        <w:keepLines w:val="0"/>
        <w:widowControl w:val="0"/>
        <w:spacing w:after="0" w:before="0" w:line="260" w:lineRule="exact"/>
        <w:ind w:firstLine="709" w:left="0" w:right="0"/>
        <w:jc w:val="both"/>
        <w:rPr>
          <w:rFonts w:ascii="XO Thames" w:hAnsi="XO Thames"/>
          <w:sz w:val="28"/>
        </w:rPr>
      </w:pPr>
    </w:p>
    <w:p w14:paraId="1B000000">
      <w:pPr>
        <w:keepNext w:val="0"/>
        <w:keepLines w:val="0"/>
        <w:widowControl w:val="0"/>
        <w:spacing w:after="51" w:before="0" w:line="260" w:lineRule="exact"/>
        <w:ind w:firstLine="0" w:left="0" w:right="180"/>
        <w:jc w:val="right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9" w:gutter="0" w:header="709" w:left="1701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pPr>
        <w:widowControl w:val="0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0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0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0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0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0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0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0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0"/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-"/>
      <w:pPr>
        <w:widowControl w:val="0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0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0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0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0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0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0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0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0"/>
        <w:ind w:hanging="360" w:left="6480"/>
      </w:pPr>
      <w:rPr>
        <w:rFonts w:ascii="Wingdings" w:hAnsi="Wingdings"/>
      </w:rPr>
    </w:lvl>
  </w:abstractNum>
  <w:abstractNum w:abstractNumId="2">
    <w:lvl w:ilvl="0">
      <w:numFmt w:val="bullet"/>
      <w:lvlText w:val="-"/>
      <w:pPr>
        <w:widowControl w:val="0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0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0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0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0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0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0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0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0"/>
        <w:ind w:hanging="360" w:left="6480"/>
      </w:pPr>
      <w:rPr>
        <w:rFonts w:ascii="Wingdings" w:hAnsi="Wingdings"/>
      </w:rPr>
    </w:lvl>
  </w:abstractNum>
  <w:abstractNum w:abstractNumId="3">
    <w:lvl w:ilvl="0">
      <w:numFmt w:val="bullet"/>
      <w:lvlText w:val="-"/>
      <w:pPr>
        <w:widowControl w:val="0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0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0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0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0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0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0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0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0"/>
        <w:ind w:hanging="360" w:left="6480"/>
      </w:pPr>
      <w:rPr>
        <w:rFonts w:ascii="Wingdings" w:hAnsi="Wingdings"/>
      </w:rPr>
    </w:lvl>
  </w:abstractNum>
  <w:abstractNum w:abstractNumId="4">
    <w:lvl w:ilvl="0">
      <w:numFmt w:val="bullet"/>
      <w:lvlText w:val="-"/>
      <w:pPr>
        <w:widowControl w:val="0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0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0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0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0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0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0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0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0"/>
        <w:ind w:hanging="360" w:left="6480"/>
      </w:pPr>
      <w:rPr>
        <w:rFonts w:ascii="Wingdings" w:hAnsi="Wingdings"/>
      </w:rPr>
    </w:lvl>
  </w:abstractNum>
  <w:abstractNum w:abstractNumId="5">
    <w:lvl w:ilvl="0">
      <w:numFmt w:val="bullet"/>
      <w:lvlText w:val="-"/>
      <w:pPr>
        <w:widowControl w:val="0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0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0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0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0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0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0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0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0"/>
        <w:ind w:hanging="360" w:left="6480"/>
      </w:pPr>
      <w:rPr>
        <w:rFonts w:ascii="Wingdings" w:hAnsi="Wingdings"/>
      </w:rPr>
    </w:lvl>
  </w:abstractNum>
  <w:abstractNum w:abstractNumId="6">
    <w:lvl w:ilvl="0">
      <w:numFmt w:val="bullet"/>
      <w:lvlText w:val="-"/>
      <w:pPr>
        <w:widowControl w:val="0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0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0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0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0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0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0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0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0"/>
        <w:ind w:hanging="360" w:left="6480"/>
      </w:pPr>
      <w:rPr>
        <w:rFonts w:ascii="Wingdings" w:hAnsi="Wingdings"/>
      </w:rPr>
    </w:lvl>
  </w:abstractNum>
  <w:abstractNum w:abstractNumId="7">
    <w:lvl w:ilvl="0">
      <w:numFmt w:val="bullet"/>
      <w:lvlText w:val="-"/>
      <w:pPr>
        <w:widowControl w:val="0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0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0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0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0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0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0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0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0"/>
        <w:ind w:hanging="360" w:left="6480"/>
      </w:pPr>
      <w:rPr>
        <w:rFonts w:ascii="Wingdings" w:hAnsi="Wingdings"/>
      </w:rPr>
    </w:lvl>
  </w:abstractNum>
  <w:abstractNum w:abstractNumId="8">
    <w:lvl w:ilvl="0">
      <w:numFmt w:val="bullet"/>
      <w:lvlText w:val="-"/>
      <w:pPr>
        <w:widowControl w:val="0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0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0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0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0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0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0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0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0"/>
        <w:ind w:hanging="360" w:left="6480"/>
      </w:pPr>
      <w:rPr>
        <w:rFonts w:ascii="Wingdings" w:hAnsi="Wingdings"/>
      </w:rPr>
    </w:lvl>
  </w:abstractNum>
  <w:abstractNum w:abstractNumId="9">
    <w:lvl w:ilvl="0">
      <w:numFmt w:val="bullet"/>
      <w:lvlText w:val="-"/>
      <w:pPr>
        <w:widowControl w:val="0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0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0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0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0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0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0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0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0"/>
        <w:ind w:hanging="360" w:left="6480"/>
      </w:pPr>
      <w:rPr>
        <w:rFonts w:ascii="Wingdings" w:hAnsi="Wingdings"/>
      </w:rPr>
    </w:lvl>
  </w:abstractNum>
  <w:abstractNum w:abstractNumId="10">
    <w:lvl w:ilvl="0">
      <w:numFmt w:val="bullet"/>
      <w:lvlText w:val="-"/>
      <w:pPr>
        <w:widowControl w:val="0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0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0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0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0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0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0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0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0"/>
        <w:ind w:hanging="360" w:left="6480"/>
      </w:pPr>
      <w:rPr>
        <w:rFonts w:ascii="Wingdings" w:hAnsi="Wingdings"/>
      </w:rPr>
    </w:lvl>
  </w:abstractNum>
  <w:abstractNum w:abstractNumId="11">
    <w:lvl w:ilvl="0">
      <w:numFmt w:val="bullet"/>
      <w:lvlText w:val="-"/>
      <w:pPr>
        <w:widowControl w:val="0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0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0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0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0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0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0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0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0"/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default="1" w:styleId="Style_1_ch" w:type="character">
    <w:name w:val="Normal"/>
    <w:link w:val="Style_1"/>
    <w:rPr>
      <w:rFonts w:ascii="Times New Roman" w:hAnsi="Times New Roman"/>
      <w:sz w:val="24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Balloon Text"/>
    <w:basedOn w:val="Style_1"/>
    <w:link w:val="Style_9_ch"/>
    <w:rPr>
      <w:rFonts w:ascii="Tahoma" w:hAnsi="Tahoma"/>
      <w:sz w:val="16"/>
    </w:rPr>
  </w:style>
  <w:style w:styleId="Style_9_ch" w:type="character">
    <w:name w:val="Balloon Text"/>
    <w:basedOn w:val="Style_1_ch"/>
    <w:link w:val="Style_9"/>
    <w:rPr>
      <w:rFonts w:ascii="Tahoma" w:hAnsi="Tahoma"/>
      <w:sz w:val="16"/>
    </w:rPr>
  </w:style>
  <w:style w:styleId="Style_10" w:type="paragraph">
    <w:name w:val="toc 3"/>
    <w:next w:val="Style_1"/>
    <w:link w:val="Style_10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media/1.jpeg" Type="http://schemas.openxmlformats.org/officeDocument/2006/relationships/image"/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MyOffice-CoreFramework-Windows/39-1403.1128.10324.1037.1@e8ff5f727e334356b492384cca4cf28c85978f47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2024-04-25T09:52:32Z</dcterms:created>
  <dcterms:modified xsi:type="dcterms:W3CDTF">2026-07-31T13:35:24Z</dcterms:modified>
</cp:coreProperties>
</file>