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</w:t>
      </w:r>
    </w:p>
    <w:p w14:paraId="04000000">
      <w:pPr>
        <w:widowControl w:val="1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решению </w:t>
      </w:r>
      <w:r>
        <w:rPr>
          <w:rFonts w:ascii="Times New Roman" w:hAnsi="Times New Roman"/>
          <w:sz w:val="28"/>
        </w:rPr>
        <w:t>Думы Кашинского</w:t>
      </w:r>
    </w:p>
    <w:p w14:paraId="05000000">
      <w:pPr>
        <w:widowControl w:val="1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муниципального округа </w:t>
      </w:r>
    </w:p>
    <w:p w14:paraId="06000000">
      <w:pPr>
        <w:widowControl w:val="1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Тверской области</w:t>
      </w:r>
    </w:p>
    <w:p w14:paraId="07000000">
      <w:pPr>
        <w:widowControl w:val="1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_09.06.2026 № 217  </w:t>
      </w:r>
    </w:p>
    <w:p w14:paraId="08000000">
      <w:pPr>
        <w:widowControl w:val="1"/>
        <w:ind/>
        <w:jc w:val="right"/>
        <w:rPr>
          <w:rFonts w:ascii="Times New Roman" w:hAnsi="Times New Roman"/>
          <w:sz w:val="28"/>
        </w:rPr>
      </w:pPr>
    </w:p>
    <w:p w14:paraId="09000000">
      <w:pPr>
        <w:widowControl w:val="1"/>
        <w:ind/>
        <w:jc w:val="right"/>
        <w:rPr>
          <w:rFonts w:ascii="Times New Roman" w:hAnsi="Times New Roman"/>
          <w:sz w:val="28"/>
        </w:rPr>
      </w:pPr>
    </w:p>
    <w:p w14:paraId="0A000000">
      <w:pPr>
        <w:widowControl w:val="1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</w:p>
    <w:p w14:paraId="0B000000">
      <w:pPr>
        <w:rPr>
          <w:rFonts w:ascii="Times New Roman" w:hAnsi="Times New Roman"/>
          <w:sz w:val="28"/>
        </w:rPr>
      </w:pPr>
    </w:p>
    <w:p w14:paraId="0C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ПРОГНОЗНЫЙ ПЛАН (ПРОГРАММА)</w:t>
      </w:r>
    </w:p>
    <w:p w14:paraId="0D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приватизации муниципального имущества муниципального образования </w:t>
      </w:r>
      <w:r>
        <w:rPr>
          <w:rFonts w:ascii="Times New Roman" w:hAnsi="Times New Roman"/>
          <w:b w:val="1"/>
          <w:sz w:val="28"/>
        </w:rPr>
        <w:t>Кашинский</w:t>
      </w:r>
      <w:r>
        <w:rPr>
          <w:rFonts w:ascii="Times New Roman" w:hAnsi="Times New Roman"/>
          <w:b w:val="1"/>
          <w:sz w:val="28"/>
        </w:rPr>
        <w:t xml:space="preserve"> муниципальный округ Тверской области </w:t>
      </w:r>
    </w:p>
    <w:p w14:paraId="0E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на 2026–2028 годы</w:t>
      </w:r>
    </w:p>
    <w:p w14:paraId="0F000000">
      <w:pPr>
        <w:widowControl w:val="1"/>
        <w:ind w:firstLine="709"/>
        <w:jc w:val="center"/>
        <w:rPr>
          <w:rFonts w:ascii="Times New Roman" w:hAnsi="Times New Roman"/>
          <w:sz w:val="28"/>
        </w:rPr>
      </w:pPr>
    </w:p>
    <w:p w14:paraId="10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Раздел I</w:t>
      </w:r>
    </w:p>
    <w:p w14:paraId="11000000">
      <w:pPr>
        <w:widowControl w:val="1"/>
        <w:ind w:firstLine="709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Основные направления в сфере приватизации</w:t>
      </w:r>
    </w:p>
    <w:p w14:paraId="12000000">
      <w:pPr>
        <w:widowControl w:val="1"/>
        <w:ind w:firstLine="709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муниципального имущества </w:t>
      </w:r>
    </w:p>
    <w:p w14:paraId="13000000">
      <w:pPr>
        <w:widowControl w:val="1"/>
        <w:ind w:firstLine="709"/>
        <w:jc w:val="center"/>
        <w:rPr>
          <w:rFonts w:ascii="Times New Roman" w:hAnsi="Times New Roman"/>
          <w:sz w:val="28"/>
        </w:rPr>
      </w:pPr>
    </w:p>
    <w:p w14:paraId="14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Настоящий прогнозный план (программа) приватизации муниципального имущества муниципального образования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муниципальный округ Тверской области на 2026–2028 годы (далее – соответственно План приватизации, муниципальное имущество) разработан в соответствии с Федеральным законом от 21.12.2001 № 178-ФЗ «О приватизации государственного и муниципального имущества» (далее – Федеральный закон № 178-ФЗ), Федеральным законом от 22.07.2008 № 159-ФЗ 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Федеральный закон № 159-ФЗ). </w:t>
      </w:r>
    </w:p>
    <w:p w14:paraId="15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Основными целями реализации Плана приватизации являются повышение эффективности управления муниципальным имуществом, обеспечение планомерности процесса приватизации, продолжение работы по оптимизации структуры муниципального имущества, а также стимулирование привлечения инвестиций в реальный сектор экономики.</w:t>
      </w:r>
    </w:p>
    <w:p w14:paraId="16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Основными задачами приватизации муниципального имущества в                 202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–202</w:t>
      </w: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годах являются:</w:t>
      </w:r>
    </w:p>
    <w:p w14:paraId="17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поступлений в бюджет Кашинского муниципального округа Тверской области и снижение расходов на содержание запланированного к приватизации муниципального имущества;</w:t>
      </w:r>
    </w:p>
    <w:p w14:paraId="18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выполнение требований Федерального закона № 159-ФЗ.</w:t>
      </w:r>
    </w:p>
    <w:p w14:paraId="19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Достижение указанных целей и реализация поставленных задач будет осуществляться в рамках законодательства Российской Федерации. Согласно законодательству Российской Федерации о приватизации, приватизация муниципального имущества основывается на признании равенства приобретателей (покупателей) муниципального имущества и открытости деятельности органов местного самоуправления.</w:t>
      </w:r>
    </w:p>
    <w:p w14:paraId="1A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Рыночная стоимость муниципального имущества, планируемого к приватизации в 2026–2028 годах, определяется в соответствии с Федеральным законом от 29.07.1998 № 135-ФЗ «Об оценочной деятельности в Российской Федерации». </w:t>
      </w:r>
    </w:p>
    <w:p w14:paraId="1B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Исходя из анализа муниципального имущества, включенного в План приватизации, ожидается получение доходов в бюджет Кашинского муниципального округа Тверской области в 2026 году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b w:val="1"/>
          <w:sz w:val="28"/>
        </w:rPr>
        <w:t xml:space="preserve"> 2 659 027,89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руб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том числе от продажи недвижимого имущества – 2 659 026,</w:t>
      </w:r>
      <w:r>
        <w:rPr>
          <w:rFonts w:ascii="Times New Roman" w:hAnsi="Times New Roman"/>
          <w:sz w:val="28"/>
        </w:rPr>
        <w:t>89</w:t>
      </w:r>
      <w:r>
        <w:rPr>
          <w:rFonts w:ascii="Times New Roman" w:hAnsi="Times New Roman"/>
          <w:sz w:val="28"/>
        </w:rPr>
        <w:t xml:space="preserve"> руб.; от продажи долей в уставном капитале обществ, находящихся в муниципальной собственности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00 руб.</w:t>
      </w:r>
    </w:p>
    <w:p w14:paraId="1C000000">
      <w:pPr>
        <w:widowControl w:val="1"/>
        <w:ind w:firstLine="708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>В 2027 и 2028 годах поступлений в бюджет Кашинского муниципального округа Тверской области от продажи муниципального имущества не планируется.</w:t>
      </w:r>
    </w:p>
    <w:p w14:paraId="1D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Раздел II</w:t>
      </w:r>
    </w:p>
    <w:p w14:paraId="1E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Перечень имущества,</w:t>
      </w:r>
    </w:p>
    <w:p w14:paraId="1F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приватизация которого планируется в 2026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b w:val="1"/>
          <w:sz w:val="28"/>
        </w:rPr>
        <w:t>2028 годах</w:t>
      </w:r>
    </w:p>
    <w:p w14:paraId="20000000">
      <w:pPr>
        <w:widowControl w:val="1"/>
        <w:ind/>
        <w:jc w:val="center"/>
        <w:rPr>
          <w:rFonts w:ascii="Times New Roman" w:hAnsi="Times New Roman"/>
          <w:sz w:val="28"/>
        </w:rPr>
      </w:pPr>
      <w:bookmarkStart w:id="1" w:name="_Hlk203574262"/>
    </w:p>
    <w:p w14:paraId="21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bookmarkStart w:id="2" w:name="_Hlk211430568"/>
      <w:r>
        <w:rPr>
          <w:rFonts w:ascii="Times New Roman" w:hAnsi="Times New Roman"/>
          <w:b w:val="1"/>
          <w:sz w:val="28"/>
        </w:rPr>
        <w:t>Недвижимое имущество</w:t>
      </w:r>
    </w:p>
    <w:tbl>
      <w:tblPr>
        <w:tblStyle w:val="Style_2"/>
        <w:tblW w:type="auto" w:w="0"/>
        <w:jc w:val="left"/>
        <w:tblInd w:type="dxa" w:w="0"/>
        <w:tblLayout w:type="fixed"/>
      </w:tblPr>
      <w:tblGrid>
        <w:gridCol w:w="279"/>
        <w:gridCol w:w="1276"/>
        <w:gridCol w:w="1857"/>
        <w:gridCol w:w="2025"/>
        <w:gridCol w:w="1080"/>
        <w:gridCol w:w="1134"/>
        <w:gridCol w:w="966"/>
        <w:gridCol w:w="1020"/>
      </w:tblGrid>
      <w:tr>
        <w:trPr>
          <w:tblHeader/>
        </w:trPr>
        <w:tc>
          <w:tcPr>
            <w:tcW w:type="dxa" w:w="279"/>
          </w:tcPr>
          <w:p w14:paraId="22000000">
            <w:pPr>
              <w:widowControl w:val="1"/>
              <w:ind w:left="-120"/>
              <w:jc w:val="center"/>
              <w:rPr>
                <w:rFonts w:ascii="Times New Roman" w:hAnsi="Times New Roman"/>
                <w:b w:val="1"/>
              </w:rPr>
            </w:pPr>
            <w:bookmarkStart w:id="3" w:name="_Hlk157777794"/>
            <w:r>
              <w:rPr>
                <w:rFonts w:ascii="Times New Roman" w:hAnsi="Times New Roman"/>
                <w:b w:val="1"/>
              </w:rPr>
              <w:t>№ п/п</w:t>
            </w:r>
          </w:p>
        </w:tc>
        <w:tc>
          <w:tcPr>
            <w:tcW w:type="dxa" w:w="1276"/>
          </w:tcPr>
          <w:p w14:paraId="23000000">
            <w:pPr>
              <w:widowControl w:val="1"/>
              <w:ind w:left="-77"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Наименова</w:t>
            </w:r>
            <w:r>
              <w:rPr>
                <w:rFonts w:ascii="Times New Roman" w:hAnsi="Times New Roman"/>
                <w:b w:val="1"/>
              </w:rPr>
              <w:t xml:space="preserve"> </w:t>
            </w:r>
            <w:r>
              <w:rPr>
                <w:rFonts w:ascii="Times New Roman" w:hAnsi="Times New Roman"/>
                <w:b w:val="1"/>
              </w:rPr>
              <w:t>ние</w:t>
            </w:r>
            <w:r>
              <w:rPr>
                <w:rFonts w:ascii="Times New Roman" w:hAnsi="Times New Roman"/>
                <w:b w:val="1"/>
              </w:rPr>
              <w:t xml:space="preserve"> объекта</w:t>
            </w:r>
          </w:p>
        </w:tc>
        <w:tc>
          <w:tcPr>
            <w:tcW w:type="dxa" w:w="1857"/>
          </w:tcPr>
          <w:p w14:paraId="24000000">
            <w:pPr>
              <w:widowControl w:val="1"/>
              <w:ind w:left="-89"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Адрес (местонахождение) объекта</w:t>
            </w:r>
          </w:p>
        </w:tc>
        <w:tc>
          <w:tcPr>
            <w:tcW w:type="dxa" w:w="2025"/>
          </w:tcPr>
          <w:p w14:paraId="25000000">
            <w:pPr>
              <w:widowControl w:val="1"/>
              <w:ind w:left="-106"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Индивидуализирующие характеристики объекта</w:t>
            </w:r>
          </w:p>
        </w:tc>
        <w:tc>
          <w:tcPr>
            <w:tcW w:type="dxa" w:w="1080"/>
          </w:tcPr>
          <w:p w14:paraId="26000000">
            <w:pPr>
              <w:widowControl w:val="1"/>
              <w:ind w:left="-108" w:right="-101"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Ограничения (обременения) имущества</w:t>
            </w:r>
          </w:p>
        </w:tc>
        <w:tc>
          <w:tcPr>
            <w:tcW w:type="dxa" w:w="1134"/>
          </w:tcPr>
          <w:p w14:paraId="27000000">
            <w:pPr>
              <w:widowControl w:val="1"/>
              <w:ind w:left="-113" w:right="-110"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Предполагаемая цена продажи (без НДС), руб.</w:t>
            </w:r>
          </w:p>
        </w:tc>
        <w:tc>
          <w:tcPr>
            <w:tcW w:type="dxa" w:w="966"/>
          </w:tcPr>
          <w:p w14:paraId="28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Способ приватизации</w:t>
            </w:r>
          </w:p>
        </w:tc>
        <w:tc>
          <w:tcPr>
            <w:tcW w:type="dxa" w:w="1020"/>
          </w:tcPr>
          <w:p w14:paraId="29000000">
            <w:pPr>
              <w:widowControl w:val="1"/>
              <w:ind w:left="-113" w:right="-120"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Исполнение</w:t>
            </w:r>
          </w:p>
        </w:tc>
      </w:tr>
      <w:tr>
        <w:trPr>
          <w:trHeight w:hRule="atLeast" w:val="422"/>
        </w:trPr>
        <w:tc>
          <w:tcPr>
            <w:tcW w:type="dxa" w:w="9637"/>
            <w:gridSpan w:val="8"/>
            <w:vAlign w:val="center"/>
          </w:tcPr>
          <w:p w14:paraId="2A000000">
            <w:pPr>
              <w:widowControl w:val="1"/>
              <w:ind w:left="-22"/>
              <w:jc w:val="center"/>
              <w:rPr>
                <w:rFonts w:ascii="Times New Roman" w:hAnsi="Times New Roman"/>
                <w:b w:val="1"/>
              </w:rPr>
            </w:pPr>
            <w:bookmarkStart w:id="4" w:name="_Hlk157779787"/>
            <w:r>
              <w:rPr>
                <w:rFonts w:ascii="Times New Roman" w:hAnsi="Times New Roman"/>
                <w:b w:val="1"/>
              </w:rPr>
              <w:t>Предполагаемый срок приватизации - 2026 год</w:t>
            </w:r>
            <w:bookmarkEnd w:id="4"/>
            <w:bookmarkEnd w:id="2"/>
          </w:p>
        </w:tc>
      </w:tr>
      <w:tr>
        <w:tc>
          <w:tcPr>
            <w:tcW w:type="dxa" w:w="279"/>
          </w:tcPr>
          <w:p w14:paraId="2B000000">
            <w:pPr>
              <w:widowControl w:val="1"/>
              <w:ind w:left="-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type="dxa" w:w="1276"/>
          </w:tcPr>
          <w:p w14:paraId="2C000000">
            <w:pPr>
              <w:widowControl w:val="1"/>
              <w:ind w:left="-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е </w:t>
            </w:r>
            <w:r>
              <w:rPr>
                <w:rFonts w:ascii="Times New Roman" w:hAnsi="Times New Roman"/>
              </w:rPr>
              <w:t>помещение</w:t>
            </w:r>
          </w:p>
          <w:p w14:paraId="2D000000">
            <w:pPr>
              <w:widowControl w:val="1"/>
              <w:ind w:left="-77"/>
              <w:rPr>
                <w:rFonts w:ascii="Times New Roman" w:hAnsi="Times New Roman"/>
              </w:rPr>
            </w:pPr>
          </w:p>
        </w:tc>
        <w:tc>
          <w:tcPr>
            <w:tcW w:type="dxa" w:w="1857"/>
          </w:tcPr>
          <w:p w14:paraId="2E000000">
            <w:pPr>
              <w:widowControl w:val="1"/>
              <w:ind w:left="-1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Тверская область, </w:t>
            </w:r>
            <w:r>
              <w:rPr>
                <w:rFonts w:ascii="Times New Roman" w:hAnsi="Times New Roman"/>
              </w:rPr>
              <w:t>Кашинский</w:t>
            </w:r>
            <w:r>
              <w:rPr>
                <w:rFonts w:ascii="Times New Roman" w:hAnsi="Times New Roman"/>
              </w:rPr>
              <w:t xml:space="preserve"> муниципальный округ, </w:t>
            </w:r>
            <w:r>
              <w:rPr>
                <w:rFonts w:ascii="Times New Roman" w:hAnsi="Times New Roman"/>
              </w:rPr>
              <w:t>город Кашин, площадь Пролетарская, дом 23, помещение 13</w:t>
            </w:r>
          </w:p>
        </w:tc>
        <w:tc>
          <w:tcPr>
            <w:tcW w:type="dxa" w:w="2025"/>
          </w:tcPr>
          <w:p w14:paraId="2F000000">
            <w:pPr>
              <w:widowControl w:val="1"/>
              <w:ind/>
              <w:jc w:val="both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 xml:space="preserve">Назначение: нежилое Кадастровый номер </w:t>
            </w:r>
            <w:r>
              <w:rPr>
                <w:rFonts w:ascii="Times New Roman" w:hAnsi="Times New Roman"/>
              </w:rPr>
              <w:t>помещения</w:t>
            </w:r>
            <w:r>
              <w:rPr>
                <w:rFonts w:ascii="Times New Roman" w:hAnsi="Times New Roman"/>
              </w:rPr>
              <w:t>: 69:</w:t>
            </w:r>
            <w:r>
              <w:rPr>
                <w:rFonts w:ascii="Times New Roman" w:hAnsi="Times New Roman"/>
              </w:rPr>
              <w:t>41</w:t>
            </w:r>
            <w:r>
              <w:rPr>
                <w:rFonts w:ascii="Times New Roman" w:hAnsi="Times New Roman"/>
              </w:rPr>
              <w:t>:0</w:t>
            </w:r>
            <w:r>
              <w:rPr>
                <w:rFonts w:ascii="Times New Roman" w:hAnsi="Times New Roman"/>
              </w:rPr>
              <w:t>010311:142</w:t>
            </w:r>
            <w:r>
              <w:rPr>
                <w:rFonts w:ascii="Times New Roman" w:hAnsi="Times New Roman"/>
              </w:rPr>
              <w:t xml:space="preserve"> Площадь: 5</w:t>
            </w:r>
            <w:r>
              <w:rPr>
                <w:rFonts w:ascii="Times New Roman" w:hAnsi="Times New Roman"/>
              </w:rPr>
              <w:t>5,</w:t>
            </w:r>
            <w:r>
              <w:rPr>
                <w:rFonts w:ascii="Times New Roman" w:hAnsi="Times New Roman"/>
              </w:rPr>
              <w:t>1 м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type="dxa" w:w="1080"/>
          </w:tcPr>
          <w:p w14:paraId="30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Имеются*</w:t>
            </w:r>
          </w:p>
        </w:tc>
        <w:tc>
          <w:tcPr>
            <w:tcW w:type="dxa" w:w="1134"/>
          </w:tcPr>
          <w:p w14:paraId="31000000">
            <w:pPr>
              <w:widowControl w:val="1"/>
              <w:ind w:right="-10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</w:t>
            </w:r>
            <w:r>
              <w:rPr>
                <w:rFonts w:ascii="Times New Roman" w:hAnsi="Times New Roman"/>
              </w:rPr>
              <w:t> 803,28</w:t>
            </w:r>
          </w:p>
        </w:tc>
        <w:tc>
          <w:tcPr>
            <w:tcW w:type="dxa" w:w="966"/>
          </w:tcPr>
          <w:p w14:paraId="32000000">
            <w:pPr>
              <w:widowControl w:val="1"/>
              <w:ind w:left="-107" w:right="-1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Открытый аукцион</w:t>
            </w:r>
          </w:p>
        </w:tc>
        <w:tc>
          <w:tcPr>
            <w:tcW w:type="dxa" w:w="1020"/>
          </w:tcPr>
          <w:p w14:paraId="33000000">
            <w:pPr>
              <w:widowControl w:val="1"/>
              <w:ind w:firstLine="0" w:left="0" w:right="0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Продано. Договор купли-продажи от 24.02.2026 №1/2026</w:t>
            </w:r>
          </w:p>
        </w:tc>
      </w:tr>
      <w:tr>
        <w:tc>
          <w:tcPr>
            <w:tcW w:type="dxa" w:w="279"/>
          </w:tcPr>
          <w:p w14:paraId="34000000">
            <w:pPr>
              <w:widowControl w:val="1"/>
              <w:ind w:left="-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type="dxa" w:w="1276"/>
          </w:tcPr>
          <w:p w14:paraId="35000000">
            <w:pPr>
              <w:widowControl w:val="1"/>
              <w:ind w:left="-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Нежилое </w:t>
            </w:r>
            <w:r>
              <w:rPr>
                <w:rFonts w:ascii="Times New Roman" w:hAnsi="Times New Roman"/>
              </w:rPr>
              <w:t>помещение</w:t>
            </w:r>
          </w:p>
        </w:tc>
        <w:tc>
          <w:tcPr>
            <w:tcW w:type="dxa" w:w="1857"/>
          </w:tcPr>
          <w:p w14:paraId="36000000">
            <w:pPr>
              <w:widowControl w:val="1"/>
              <w:ind w:left="-1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Тверская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область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Кашинский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муниципальный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округ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город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Кашин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площадь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Пролетарская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дом</w:t>
            </w:r>
            <w:r>
              <w:rPr>
                <w:rFonts w:ascii="Times New Roman" w:hAnsi="Times New Roman"/>
              </w:rPr>
              <w:t xml:space="preserve"> 23, </w:t>
            </w:r>
            <w:r>
              <w:rPr>
                <w:rFonts w:ascii="Times New Roman" w:hAnsi="Times New Roman"/>
              </w:rPr>
              <w:t>помещение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type="dxa" w:w="2025"/>
          </w:tcPr>
          <w:p w14:paraId="37000000">
            <w:pPr>
              <w:widowControl w:val="1"/>
              <w:ind/>
              <w:jc w:val="both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 xml:space="preserve">Назначение: нежилое Кадастровый номер </w:t>
            </w:r>
            <w:r>
              <w:rPr>
                <w:rFonts w:ascii="Times New Roman" w:hAnsi="Times New Roman"/>
              </w:rPr>
              <w:t>помещения</w:t>
            </w:r>
            <w:r>
              <w:rPr>
                <w:rFonts w:ascii="Times New Roman" w:hAnsi="Times New Roman"/>
              </w:rPr>
              <w:t>: 69:</w:t>
            </w:r>
            <w:r>
              <w:rPr>
                <w:rFonts w:ascii="Times New Roman" w:hAnsi="Times New Roman"/>
              </w:rPr>
              <w:t>41</w:t>
            </w:r>
            <w:r>
              <w:rPr>
                <w:rFonts w:ascii="Times New Roman" w:hAnsi="Times New Roman"/>
              </w:rPr>
              <w:t>:0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0311:141</w:t>
            </w:r>
            <w:r>
              <w:rPr>
                <w:rFonts w:ascii="Times New Roman" w:hAnsi="Times New Roman"/>
              </w:rPr>
              <w:t xml:space="preserve"> Площадь: </w:t>
            </w:r>
            <w:r>
              <w:rPr>
                <w:rFonts w:ascii="Times New Roman" w:hAnsi="Times New Roman"/>
              </w:rPr>
              <w:t>45,9</w:t>
            </w:r>
            <w:r>
              <w:rPr>
                <w:rFonts w:ascii="Times New Roman" w:hAnsi="Times New Roman"/>
              </w:rPr>
              <w:t xml:space="preserve"> м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type="dxa" w:w="1080"/>
          </w:tcPr>
          <w:p w14:paraId="38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Имеются*</w:t>
            </w:r>
          </w:p>
        </w:tc>
        <w:tc>
          <w:tcPr>
            <w:tcW w:type="dxa" w:w="1134"/>
          </w:tcPr>
          <w:p w14:paraId="39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1 311,48</w:t>
            </w:r>
          </w:p>
        </w:tc>
        <w:tc>
          <w:tcPr>
            <w:tcW w:type="dxa" w:w="966"/>
          </w:tcPr>
          <w:p w14:paraId="3A000000">
            <w:pPr>
              <w:widowControl w:val="1"/>
              <w:ind w:left="-107" w:right="-111"/>
            </w:pPr>
            <w:r>
              <w:rPr>
                <w:rFonts w:ascii="Times New Roman" w:hAnsi="Times New Roman"/>
              </w:rPr>
              <w:t>Открытый аукцион</w:t>
            </w:r>
            <w:bookmarkEnd w:id="3"/>
          </w:p>
        </w:tc>
        <w:tc>
          <w:tcPr>
            <w:tcW w:type="dxa" w:w="1020"/>
          </w:tcPr>
          <w:p w14:paraId="3B000000">
            <w:pPr>
              <w:widowControl w:val="1"/>
              <w:spacing w:after="0" w:line="240" w:lineRule="auto"/>
              <w:ind w:right="0"/>
              <w:jc w:val="both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Продано. Договор купли-продажи от 24.02.2026 №2/2026</w:t>
            </w:r>
          </w:p>
          <w:p w14:paraId="3C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</w:p>
        </w:tc>
      </w:tr>
      <w:tr>
        <w:tc>
          <w:tcPr>
            <w:tcW w:type="dxa" w:w="279"/>
          </w:tcPr>
          <w:p w14:paraId="3D000000">
            <w:pPr>
              <w:widowControl w:val="1"/>
              <w:ind w:left="-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type="dxa" w:w="1276"/>
          </w:tcPr>
          <w:p w14:paraId="3E000000">
            <w:pPr>
              <w:widowControl w:val="1"/>
              <w:ind w:left="-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 (дом культуры) с земельным участком</w:t>
            </w:r>
          </w:p>
        </w:tc>
        <w:tc>
          <w:tcPr>
            <w:tcW w:type="dxa" w:w="1857"/>
          </w:tcPr>
          <w:p w14:paraId="3F000000">
            <w:pPr>
              <w:widowControl w:val="1"/>
              <w:ind w:left="-1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Тверская область, </w:t>
            </w:r>
            <w:r>
              <w:rPr>
                <w:rFonts w:ascii="Times New Roman" w:hAnsi="Times New Roman"/>
              </w:rPr>
              <w:t>Кашинский</w:t>
            </w:r>
            <w:r>
              <w:rPr>
                <w:rFonts w:ascii="Times New Roman" w:hAnsi="Times New Roman"/>
              </w:rPr>
              <w:t xml:space="preserve"> муниципальный округ, деревня </w:t>
            </w:r>
            <w:r>
              <w:rPr>
                <w:rFonts w:ascii="Times New Roman" w:hAnsi="Times New Roman"/>
              </w:rPr>
              <w:t>Фалево</w:t>
            </w:r>
            <w:r>
              <w:rPr>
                <w:rFonts w:ascii="Times New Roman" w:hAnsi="Times New Roman"/>
              </w:rPr>
              <w:t>, улица Школьная, дом 4</w:t>
            </w:r>
          </w:p>
        </w:tc>
        <w:tc>
          <w:tcPr>
            <w:tcW w:type="dxa" w:w="2025"/>
          </w:tcPr>
          <w:p w14:paraId="40000000">
            <w:pPr>
              <w:widowControl w:val="1"/>
              <w:spacing w:line="240" w:lineRule="auto"/>
              <w:ind/>
              <w:jc w:val="both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Назначение: нежилое Кадастровый номер здания: 69:12:0120101:142 Площадь здания: 281,6 м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 xml:space="preserve"> Кадастровый номер земельного участка: 69:12:0120101:90 Площадь земельного участка: 1248 м</w:t>
            </w:r>
            <w:r>
              <w:rPr>
                <w:rFonts w:ascii="Times New Roman" w:hAnsi="Times New Roman"/>
                <w:vertAlign w:val="superscript"/>
              </w:rPr>
              <w:t xml:space="preserve">2   </w:t>
            </w:r>
            <w:r>
              <w:rPr>
                <w:rFonts w:ascii="Times New Roman" w:hAnsi="Times New Roman"/>
              </w:rPr>
              <w:t xml:space="preserve">Категория земель: Земли </w:t>
            </w:r>
            <w:r>
              <w:rPr>
                <w:rFonts w:ascii="Times New Roman" w:hAnsi="Times New Roman"/>
              </w:rPr>
              <w:t xml:space="preserve">населенных пунктов </w:t>
            </w:r>
            <w:r>
              <w:rPr>
                <w:rFonts w:ascii="Times New Roman" w:hAnsi="Times New Roman"/>
              </w:rPr>
              <w:t>Вид разрешенного использования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rPr>
                <w:rFonts w:ascii="Times New Roman" w:hAnsi="Times New Roman"/>
              </w:rPr>
              <w:t xml:space="preserve"> общественно-деловых целей</w:t>
            </w:r>
          </w:p>
        </w:tc>
        <w:tc>
          <w:tcPr>
            <w:tcW w:type="dxa" w:w="1080"/>
          </w:tcPr>
          <w:p w14:paraId="41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имеются</w:t>
            </w:r>
          </w:p>
        </w:tc>
        <w:tc>
          <w:tcPr>
            <w:tcW w:type="dxa" w:w="1134"/>
          </w:tcPr>
          <w:p w14:paraId="42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530 000,00</w:t>
            </w:r>
          </w:p>
        </w:tc>
        <w:tc>
          <w:tcPr>
            <w:tcW w:type="dxa" w:w="966"/>
          </w:tcPr>
          <w:p w14:paraId="43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Открытый аукцион</w:t>
            </w:r>
          </w:p>
        </w:tc>
        <w:tc>
          <w:tcPr>
            <w:tcW w:type="dxa" w:w="1020"/>
          </w:tcPr>
          <w:p w14:paraId="44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</w:p>
        </w:tc>
      </w:tr>
      <w:tr>
        <w:tc>
          <w:tcPr>
            <w:tcW w:type="dxa" w:w="279"/>
          </w:tcPr>
          <w:p w14:paraId="45000000">
            <w:pPr>
              <w:widowControl w:val="1"/>
              <w:ind w:left="-120"/>
              <w:jc w:val="both"/>
              <w:rPr>
                <w:rFonts w:ascii="Times New Roman" w:hAnsi="Times New Roman"/>
              </w:rPr>
            </w:pPr>
            <w:bookmarkStart w:id="5" w:name="_Hlk220502122"/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type="dxa" w:w="1276"/>
          </w:tcPr>
          <w:p w14:paraId="46000000">
            <w:pPr>
              <w:widowControl w:val="1"/>
              <w:ind w:left="-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</w:t>
            </w:r>
            <w:r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>е здани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кормоцех и подсобное помещение кормоцеха)</w:t>
            </w:r>
            <w:r>
              <w:rPr>
                <w:rFonts w:ascii="Times New Roman" w:hAnsi="Times New Roman"/>
              </w:rPr>
              <w:t xml:space="preserve"> с земельным участком</w:t>
            </w:r>
          </w:p>
        </w:tc>
        <w:tc>
          <w:tcPr>
            <w:tcW w:type="dxa" w:w="1857"/>
          </w:tcPr>
          <w:p w14:paraId="47000000">
            <w:pPr>
              <w:widowControl w:val="1"/>
              <w:ind w:left="-1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Тверская область, </w:t>
            </w:r>
            <w:r>
              <w:rPr>
                <w:rFonts w:ascii="Times New Roman" w:hAnsi="Times New Roman"/>
              </w:rPr>
              <w:t>Кашинский</w:t>
            </w:r>
            <w:r>
              <w:rPr>
                <w:rFonts w:ascii="Times New Roman" w:hAnsi="Times New Roman"/>
              </w:rPr>
              <w:t xml:space="preserve"> муниципальный округ, деревня </w:t>
            </w:r>
            <w:r>
              <w:rPr>
                <w:rFonts w:ascii="Times New Roman" w:hAnsi="Times New Roman"/>
              </w:rPr>
              <w:t>Верхняя Троица</w:t>
            </w:r>
          </w:p>
        </w:tc>
        <w:tc>
          <w:tcPr>
            <w:tcW w:type="dxa" w:w="2025"/>
          </w:tcPr>
          <w:p w14:paraId="48000000">
            <w:pPr>
              <w:widowControl w:val="1"/>
              <w:spacing w:line="240" w:lineRule="auto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Назначение: нежилое Кадастровый номер </w:t>
            </w:r>
            <w:r>
              <w:rPr>
                <w:rFonts w:ascii="Times New Roman" w:hAnsi="Times New Roman"/>
              </w:rPr>
              <w:t>кормоцеха</w:t>
            </w:r>
            <w:r>
              <w:rPr>
                <w:rFonts w:ascii="Times New Roman" w:hAnsi="Times New Roman"/>
              </w:rPr>
              <w:t xml:space="preserve">: 69:12:0000022:586 Площадь здания: </w:t>
            </w:r>
            <w:r>
              <w:rPr>
                <w:rFonts w:ascii="Times New Roman" w:hAnsi="Times New Roman"/>
              </w:rPr>
              <w:t>838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м2 </w:t>
            </w:r>
            <w:r>
              <w:rPr>
                <w:rFonts w:ascii="Times New Roman" w:hAnsi="Times New Roman"/>
              </w:rPr>
              <w:t>Кадастровый номер</w:t>
            </w:r>
            <w:r>
              <w:rPr>
                <w:rFonts w:ascii="Times New Roman" w:hAnsi="Times New Roman"/>
              </w:rPr>
              <w:t xml:space="preserve"> подсобного помещения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кормоцеха: 69:12:0000022:58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Площадь здания: </w:t>
            </w:r>
            <w:r>
              <w:rPr>
                <w:rFonts w:ascii="Times New Roman" w:hAnsi="Times New Roman"/>
              </w:rPr>
              <w:t>313,7</w:t>
            </w:r>
            <w:r>
              <w:rPr>
                <w:rFonts w:ascii="Times New Roman" w:hAnsi="Times New Roman"/>
              </w:rPr>
              <w:t xml:space="preserve"> м2 </w:t>
            </w:r>
            <w:r>
              <w:rPr>
                <w:rFonts w:ascii="Times New Roman" w:hAnsi="Times New Roman"/>
              </w:rPr>
              <w:t xml:space="preserve">Кадастровый номер земельного участка: </w:t>
            </w:r>
            <w:r>
              <w:rPr>
                <w:rFonts w:ascii="Times New Roman" w:hAnsi="Times New Roman"/>
              </w:rPr>
              <w:t>69:12:0000022:</w:t>
            </w:r>
            <w:r>
              <w:rPr>
                <w:rFonts w:ascii="Times New Roman" w:hAnsi="Times New Roman"/>
              </w:rPr>
              <w:t>598</w:t>
            </w:r>
          </w:p>
          <w:p w14:paraId="49000000">
            <w:pPr>
              <w:widowControl w:val="1"/>
              <w:spacing w:line="240" w:lineRule="auto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Площадь земельного участка: </w:t>
            </w:r>
            <w:r>
              <w:rPr>
                <w:rFonts w:ascii="Times New Roman" w:hAnsi="Times New Roman"/>
              </w:rPr>
              <w:t>3122</w:t>
            </w:r>
            <w:r>
              <w:rPr>
                <w:rFonts w:ascii="Times New Roman" w:hAnsi="Times New Roman"/>
              </w:rPr>
              <w:t xml:space="preserve"> м2 </w:t>
            </w:r>
            <w:r>
              <w:rPr>
                <w:rFonts w:ascii="Times New Roman" w:hAnsi="Times New Roman"/>
              </w:rPr>
              <w:t xml:space="preserve">Категория земель: </w:t>
            </w:r>
            <w:r>
              <w:rPr>
                <w:rFonts w:ascii="Times New Roman" w:hAnsi="Times New Roman"/>
              </w:rPr>
              <w:t>Земли сельскохозяйственного назначения</w:t>
            </w:r>
            <w:r>
              <w:rPr>
                <w:rFonts w:ascii="Times New Roman" w:hAnsi="Times New Roman"/>
              </w:rPr>
              <w:t xml:space="preserve"> Вид разрешенного использования: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Животноводство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type="dxa" w:w="1080"/>
          </w:tcPr>
          <w:p w14:paraId="4A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имеются</w:t>
            </w:r>
          </w:p>
        </w:tc>
        <w:tc>
          <w:tcPr>
            <w:tcW w:type="dxa" w:w="1134"/>
          </w:tcPr>
          <w:p w14:paraId="4B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379 672,13</w:t>
            </w:r>
          </w:p>
        </w:tc>
        <w:tc>
          <w:tcPr>
            <w:tcW w:type="dxa" w:w="966"/>
          </w:tcPr>
          <w:p w14:paraId="4C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Открытый аукцион</w:t>
            </w:r>
          </w:p>
        </w:tc>
        <w:tc>
          <w:tcPr>
            <w:tcW w:type="dxa" w:w="1020"/>
          </w:tcPr>
          <w:p w14:paraId="4D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</w:p>
          <w:p w14:paraId="4E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</w:p>
          <w:p w14:paraId="4F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</w:p>
        </w:tc>
      </w:tr>
      <w:tr>
        <w:tc>
          <w:tcPr>
            <w:tcW w:type="dxa" w:w="2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0000000">
            <w:pPr>
              <w:widowControl w:val="1"/>
              <w:spacing w:after="0" w:line="240" w:lineRule="auto"/>
              <w:ind w:left="-120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  <w:t>5.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1000000">
            <w:pPr>
              <w:widowControl w:val="1"/>
              <w:spacing w:after="0" w:line="240" w:lineRule="auto"/>
              <w:ind w:lef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</w:t>
            </w:r>
          </w:p>
        </w:tc>
        <w:tc>
          <w:tcPr>
            <w:tcW w:type="dxa" w:w="18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2000000">
            <w:pPr>
              <w:widowControl w:val="1"/>
              <w:spacing w:after="0" w:line="240" w:lineRule="auto"/>
              <w:ind w:left="-10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Тверская область, </w:t>
            </w:r>
            <w:r>
              <w:rPr>
                <w:rFonts w:ascii="Times New Roman" w:hAnsi="Times New Roman"/>
              </w:rPr>
              <w:t>Кашинский</w:t>
            </w:r>
            <w:r>
              <w:rPr>
                <w:rFonts w:ascii="Times New Roman" w:hAnsi="Times New Roman"/>
              </w:rPr>
              <w:t xml:space="preserve"> муниципальный округ, город Кашин, улица Анатолия Луначарского, дом 6, помещение 7</w:t>
            </w:r>
          </w:p>
        </w:tc>
        <w:tc>
          <w:tcPr>
            <w:tcW w:type="dxa" w:w="20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Назначение: нежилое Кадастровый номер помещения: 69:41:0010310:54</w:t>
            </w:r>
          </w:p>
          <w:p w14:paraId="54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Площадь: 16,9 м</w:t>
            </w:r>
            <w:r>
              <w:rPr>
                <w:rFonts w:ascii="Times New Roman" w:hAnsi="Times New Roman"/>
                <w:vertAlign w:val="superscript"/>
              </w:rPr>
              <w:t xml:space="preserve">2   </w:t>
            </w:r>
          </w:p>
        </w:tc>
        <w:tc>
          <w:tcPr>
            <w:tcW w:type="dxa" w:w="10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5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Имеются**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6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354 900,00</w:t>
            </w:r>
          </w:p>
        </w:tc>
        <w:tc>
          <w:tcPr>
            <w:tcW w:type="dxa" w:w="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00000">
            <w:pPr>
              <w:widowControl w:val="1"/>
              <w:spacing w:after="0" w:line="240" w:lineRule="auto"/>
              <w:ind w:left="-107" w:right="-111"/>
            </w:pPr>
            <w:r>
              <w:rPr>
                <w:rFonts w:ascii="Times New Roman" w:hAnsi="Times New Roman"/>
              </w:rPr>
              <w:t>В порядке, установленном Федеральным законом                   № 159-ФЗ</w:t>
            </w:r>
          </w:p>
        </w:tc>
        <w:tc>
          <w:tcPr>
            <w:tcW w:type="dxa" w:w="1020"/>
          </w:tcPr>
          <w:p w14:paraId="58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</w:p>
        </w:tc>
      </w:tr>
      <w:tr>
        <w:tc>
          <w:tcPr>
            <w:tcW w:type="dxa" w:w="2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9000000">
            <w:pPr>
              <w:widowControl w:val="1"/>
              <w:spacing w:after="0" w:line="240" w:lineRule="auto"/>
              <w:ind w:left="-120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6.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A000000">
            <w:pPr>
              <w:widowControl w:val="1"/>
              <w:spacing w:after="0" w:line="240" w:lineRule="auto"/>
              <w:ind w:left="-10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помещение</w:t>
            </w:r>
          </w:p>
        </w:tc>
        <w:tc>
          <w:tcPr>
            <w:tcW w:type="dxa" w:w="18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B000000">
            <w:pPr>
              <w:widowControl w:val="1"/>
              <w:spacing w:after="0" w:line="240" w:lineRule="auto"/>
              <w:ind w:left="-10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Тверская область, </w:t>
            </w:r>
            <w:r>
              <w:rPr>
                <w:rFonts w:ascii="Times New Roman" w:hAnsi="Times New Roman"/>
                <w:color w:val="000000"/>
              </w:rPr>
              <w:t>Кашинский</w:t>
            </w:r>
            <w:r>
              <w:rPr>
                <w:rFonts w:ascii="Times New Roman" w:hAnsi="Times New Roman"/>
                <w:color w:val="000000"/>
              </w:rPr>
              <w:t xml:space="preserve"> муниципальный округ, город Кашин, улица Анатолия Луначарского, дом 6, помещение 8</w:t>
            </w:r>
          </w:p>
        </w:tc>
        <w:tc>
          <w:tcPr>
            <w:tcW w:type="dxa" w:w="20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C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Назначение: нежилое Кадастровый номер помещения: 69:41:0010310:53</w:t>
            </w:r>
          </w:p>
          <w:p w14:paraId="5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Площадь: 13,7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 xml:space="preserve">2   </w:t>
            </w:r>
          </w:p>
        </w:tc>
        <w:tc>
          <w:tcPr>
            <w:tcW w:type="dxa" w:w="10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E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Имеются**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F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287 700,00</w:t>
            </w:r>
          </w:p>
        </w:tc>
        <w:tc>
          <w:tcPr>
            <w:tcW w:type="dxa" w:w="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0000000">
            <w:pPr>
              <w:widowControl w:val="1"/>
              <w:spacing w:after="0" w:line="240" w:lineRule="auto"/>
              <w:ind w:left="-107" w:right="-111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порядке, установленном Федеральным законом                   № 159-ФЗ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2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2000000">
            <w:pPr>
              <w:widowControl w:val="1"/>
              <w:spacing w:after="0" w:line="240" w:lineRule="auto"/>
              <w:ind w:left="-120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7.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3000000">
            <w:pPr>
              <w:widowControl w:val="1"/>
              <w:spacing w:after="0" w:line="240" w:lineRule="auto"/>
              <w:ind w:left="-10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помещение</w:t>
            </w:r>
          </w:p>
        </w:tc>
        <w:tc>
          <w:tcPr>
            <w:tcW w:type="dxa" w:w="18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4000000">
            <w:pPr>
              <w:widowControl w:val="1"/>
              <w:spacing w:after="0" w:line="240" w:lineRule="auto"/>
              <w:ind w:left="-10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Тверская область, </w:t>
            </w:r>
            <w:r>
              <w:rPr>
                <w:rFonts w:ascii="Times New Roman" w:hAnsi="Times New Roman"/>
                <w:color w:val="000000"/>
              </w:rPr>
              <w:t>Кашинский</w:t>
            </w:r>
            <w:r>
              <w:rPr>
                <w:rFonts w:ascii="Times New Roman" w:hAnsi="Times New Roman"/>
                <w:color w:val="000000"/>
              </w:rPr>
              <w:t xml:space="preserve"> муниципальный округ, город Кашин, улица Анатолия Луначарского, дом 6, помещение 12</w:t>
            </w:r>
          </w:p>
        </w:tc>
        <w:tc>
          <w:tcPr>
            <w:tcW w:type="dxa" w:w="20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5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Назначение: нежилое Кадастровый номер помещения: 69:41:0010310:52</w:t>
            </w:r>
          </w:p>
          <w:p w14:paraId="6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Площадь: 25,8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 xml:space="preserve">2   </w:t>
            </w:r>
          </w:p>
        </w:tc>
        <w:tc>
          <w:tcPr>
            <w:tcW w:type="dxa" w:w="10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7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Имеются**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8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541 800,00</w:t>
            </w:r>
          </w:p>
        </w:tc>
        <w:tc>
          <w:tcPr>
            <w:tcW w:type="dxa" w:w="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9000000">
            <w:pPr>
              <w:widowControl w:val="1"/>
              <w:spacing w:after="0" w:line="240" w:lineRule="auto"/>
              <w:ind w:left="-107" w:right="-111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порядке, установленном Федеральным законом                   № 159-ФЗ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>
        <w:trPr>
          <w:trHeight w:hRule="atLeast" w:val="208"/>
        </w:trPr>
        <w:tc>
          <w:tcPr>
            <w:tcW w:type="dxa" w:w="2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B000000">
            <w:pPr>
              <w:widowControl w:val="1"/>
              <w:spacing w:after="0" w:line="240" w:lineRule="auto"/>
              <w:ind w:left="-120"/>
              <w:rPr>
                <w:rFonts w:asciiTheme="minorAscii" w:hAnsiTheme="minorHAnsi"/>
                <w:color w:val="000000"/>
              </w:rPr>
            </w:pPr>
            <w:r>
              <w:rPr>
                <w:rFonts w:asciiTheme="minorAscii" w:hAnsiTheme="minorHAnsi"/>
                <w:color w:val="000000"/>
              </w:rPr>
              <w:t>8.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C000000">
            <w:pPr>
              <w:widowControl w:val="1"/>
              <w:spacing w:after="0" w:line="240" w:lineRule="auto"/>
              <w:ind w:left="-10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помещение</w:t>
            </w:r>
          </w:p>
        </w:tc>
        <w:tc>
          <w:tcPr>
            <w:tcW w:type="dxa" w:w="18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D000000">
            <w:pPr>
              <w:widowControl w:val="1"/>
              <w:spacing w:after="0" w:line="240" w:lineRule="auto"/>
              <w:ind w:left="-10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Тверская область, </w:t>
            </w:r>
            <w:r>
              <w:rPr>
                <w:rFonts w:ascii="Times New Roman" w:hAnsi="Times New Roman"/>
                <w:color w:val="000000"/>
              </w:rPr>
              <w:t>Кашинский</w:t>
            </w:r>
            <w:r>
              <w:rPr>
                <w:rFonts w:ascii="Times New Roman" w:hAnsi="Times New Roman"/>
                <w:color w:val="000000"/>
              </w:rPr>
              <w:t xml:space="preserve"> муниципальный округ, город Кашин, площадь Александры Петровой дом  8                                                                                                                                                </w:t>
            </w:r>
          </w:p>
        </w:tc>
        <w:tc>
          <w:tcPr>
            <w:tcW w:type="dxa" w:w="20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Назначение: нежилое Кадастровый номер помещения: 69:41:0010135:152</w:t>
            </w:r>
          </w:p>
          <w:p w14:paraId="6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Площадь: 34,3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 xml:space="preserve">2   </w:t>
            </w:r>
          </w:p>
        </w:tc>
        <w:tc>
          <w:tcPr>
            <w:tcW w:type="dxa" w:w="10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0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Не имеются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1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301 840,00</w:t>
            </w:r>
          </w:p>
        </w:tc>
        <w:tc>
          <w:tcPr>
            <w:tcW w:type="dxa" w:w="9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2000000">
            <w:pPr>
              <w:widowControl w:val="1"/>
              <w:spacing w:after="0" w:line="240" w:lineRule="auto"/>
              <w:ind w:left="-107" w:right="-111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порядке, установленном Федеральным законом                   № 159-ФЗ</w:t>
            </w:r>
          </w:p>
        </w:tc>
        <w:tc>
          <w:tcPr>
            <w:tcW w:type="dxa" w:w="10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6517"/>
            <w:gridSpan w:val="5"/>
          </w:tcPr>
          <w:p w14:paraId="74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  <w:bookmarkStart w:id="6" w:name="_Hlk196483291"/>
            <w:bookmarkEnd w:id="5"/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type="dxa" w:w="3120"/>
            <w:gridSpan w:val="3"/>
          </w:tcPr>
          <w:p w14:paraId="75000000">
            <w:pPr>
              <w:widowControl w:val="1"/>
              <w: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2 659 026,89</w:t>
            </w:r>
          </w:p>
        </w:tc>
      </w:tr>
    </w:tbl>
    <w:p w14:paraId="76000000">
      <w:pPr>
        <w:widowControl w:val="1"/>
        <w:ind/>
        <w:jc w:val="both"/>
        <w:rPr>
          <w:rFonts w:ascii="Times New Roman" w:hAnsi="Times New Roman"/>
          <w:sz w:val="24"/>
        </w:rPr>
      </w:pPr>
      <w:bookmarkEnd w:id="6"/>
    </w:p>
    <w:p w14:paraId="77000000">
      <w:pPr>
        <w:widowControl w:val="1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*помещение входит в состав Ансамбля торговой площади, кон. XVIII — нач. XX вв., который является выявленным объектом культурного наследия (приказ Комитета по охране историко-культурного наследия от 30.12.1999 № 68).</w:t>
      </w:r>
    </w:p>
    <w:p w14:paraId="78000000">
      <w:pPr>
        <w:widowControl w:val="1"/>
        <w:ind w:firstLine="708"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**</w:t>
      </w:r>
      <w:r>
        <w:rPr>
          <w:rFonts w:ascii="Times New Roman" w:hAnsi="Times New Roman"/>
          <w:sz w:val="24"/>
        </w:rPr>
        <w:t>помещение входит в состав нежилого здания гостиницы, 2-я пол. XIX в., которое является выявленным объектом культурного наследия (приказ Комитета по охране историко-культурного наследия от 30.12.1999 № 68).</w:t>
      </w:r>
    </w:p>
    <w:p w14:paraId="79000000">
      <w:pPr>
        <w:widowControl w:val="1"/>
        <w:ind w:firstLine="708"/>
        <w:jc w:val="both"/>
        <w:outlineLvl w:val="0"/>
        <w:rPr>
          <w:rFonts w:ascii="Times New Roman" w:hAnsi="Times New Roman"/>
          <w:sz w:val="24"/>
        </w:rPr>
      </w:pPr>
    </w:p>
    <w:p w14:paraId="7A000000">
      <w:pPr>
        <w:widowControl w:val="1"/>
        <w:ind/>
        <w:jc w:val="center"/>
        <w:outlineLvl w:val="0"/>
        <w:rPr>
          <w:rFonts w:ascii="Times New Roman" w:hAnsi="Times New Roman"/>
          <w:b w:val="1"/>
          <w:sz w:val="28"/>
        </w:rPr>
      </w:pPr>
      <w:bookmarkStart w:id="7" w:name="_Hlk185578237"/>
      <w:bookmarkStart w:id="8" w:name="_Hlk220502176"/>
      <w:r>
        <w:rPr>
          <w:rFonts w:ascii="Times New Roman" w:hAnsi="Times New Roman"/>
          <w:b w:val="1"/>
          <w:sz w:val="28"/>
        </w:rPr>
        <w:t>Перечень долей в уставном капитале обществ, находящихся в муниципальной собственности</w:t>
      </w:r>
      <w:bookmarkEnd w:id="7"/>
      <w:r>
        <w:rPr>
          <w:rFonts w:ascii="Times New Roman" w:hAnsi="Times New Roman"/>
          <w:b w:val="1"/>
          <w:sz w:val="28"/>
        </w:rPr>
        <w:t>, которые планируется приватизировать в 2026 году</w:t>
      </w:r>
    </w:p>
    <w:p w14:paraId="7B000000">
      <w:pPr>
        <w:widowControl w:val="1"/>
        <w:ind/>
        <w:jc w:val="both"/>
        <w:outlineLvl w:val="0"/>
        <w:rPr>
          <w:rFonts w:ascii="Times New Roman" w:hAnsi="Times New Roman"/>
          <w:b w:val="1"/>
          <w:sz w:val="28"/>
        </w:rPr>
      </w:pPr>
    </w:p>
    <w:tbl>
      <w:tblPr>
        <w:tblStyle w:val="Style_3"/>
        <w:tblW w:type="auto" w:w="0"/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421"/>
        <w:gridCol w:w="2126"/>
        <w:gridCol w:w="1871"/>
        <w:gridCol w:w="2098"/>
        <w:gridCol w:w="1134"/>
        <w:gridCol w:w="1134"/>
        <w:gridCol w:w="850"/>
      </w:tblGrid>
      <w:tr>
        <w:trPr>
          <w:trHeight w:hRule="atLeast" w:val="884"/>
        </w:trPr>
        <w:tc>
          <w:tcPr>
            <w:tcW w:type="dxa" w:w="4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C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</w:rPr>
            </w:pPr>
            <w:bookmarkStart w:id="9" w:name="_Hlk209777240"/>
            <w:r>
              <w:rPr>
                <w:rFonts w:ascii="Times New Roman" w:hAnsi="Times New Roman"/>
                <w:b w:val="1"/>
              </w:rPr>
              <w:t xml:space="preserve">№ п/п </w:t>
            </w:r>
          </w:p>
        </w:tc>
        <w:tc>
          <w:tcPr>
            <w:tcW w:type="dxa" w:w="21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D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Наименование общества </w:t>
            </w:r>
          </w:p>
        </w:tc>
        <w:tc>
          <w:tcPr>
            <w:tcW w:type="dxa" w:w="18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E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Доля в уставном капитале общества, принадлежащая муниципальному образованию </w:t>
            </w:r>
            <w:r>
              <w:rPr>
                <w:rFonts w:ascii="Times New Roman" w:hAnsi="Times New Roman"/>
                <w:b w:val="1"/>
              </w:rPr>
              <w:t>Кашинск</w:t>
            </w:r>
            <w:r>
              <w:rPr>
                <w:rFonts w:ascii="Times New Roman" w:hAnsi="Times New Roman"/>
                <w:b w:val="1"/>
              </w:rPr>
              <w:t>ий</w:t>
            </w:r>
            <w:r>
              <w:rPr>
                <w:rFonts w:ascii="Times New Roman" w:hAnsi="Times New Roman"/>
                <w:b w:val="1"/>
              </w:rPr>
              <w:t xml:space="preserve"> муниципальн</w:t>
            </w:r>
            <w:r>
              <w:rPr>
                <w:rFonts w:ascii="Times New Roman" w:hAnsi="Times New Roman"/>
                <w:b w:val="1"/>
              </w:rPr>
              <w:t>ый</w:t>
            </w:r>
            <w:r>
              <w:rPr>
                <w:rFonts w:ascii="Times New Roman" w:hAnsi="Times New Roman"/>
                <w:b w:val="1"/>
              </w:rPr>
              <w:t xml:space="preserve"> округ Тверской области </w:t>
            </w:r>
          </w:p>
        </w:tc>
        <w:tc>
          <w:tcPr>
            <w:tcW w:type="dxa" w:w="2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7F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 xml:space="preserve">Адрес (местонахождение) имущества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0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Цена продажи, руб.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1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Способ приватизации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2000000">
            <w:pPr>
              <w:widowControl w:val="1"/>
              <w:ind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Исполнение</w:t>
            </w:r>
          </w:p>
        </w:tc>
      </w:tr>
      <w:tr>
        <w:trPr>
          <w:trHeight w:hRule="atLeast" w:val="1326"/>
        </w:trPr>
        <w:tc>
          <w:tcPr>
            <w:tcW w:type="dxa" w:w="4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300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bookmarkStart w:id="10" w:name="_Hlk209777272"/>
            <w:bookmarkEnd w:id="9"/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type="dxa" w:w="21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400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 xml:space="preserve">щество с ограниченной ответственностью </w:t>
            </w:r>
            <w:r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Газпром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теплоэнерго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Тверь»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8500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ИНН</w:t>
            </w:r>
            <w:r>
              <w:rPr>
                <w:rFonts w:ascii="Times New Roman" w:hAnsi="Times New Roman"/>
              </w:rPr>
              <w:t xml:space="preserve"> 6905077949)</w:t>
            </w:r>
          </w:p>
          <w:p w14:paraId="8600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8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700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3%-</w:t>
            </w:r>
            <w:r>
              <w:rPr>
                <w:rFonts w:ascii="Times New Roman" w:hAnsi="Times New Roman"/>
              </w:rPr>
              <w:t>ая</w:t>
            </w:r>
            <w:r>
              <w:rPr>
                <w:rFonts w:ascii="Times New Roman" w:hAnsi="Times New Roman"/>
              </w:rPr>
              <w:t xml:space="preserve"> доля в уставном капитале общества </w:t>
            </w:r>
          </w:p>
        </w:tc>
        <w:tc>
          <w:tcPr>
            <w:tcW w:type="dxa" w:w="20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800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170006, </w:t>
            </w:r>
            <w:r>
              <w:rPr>
                <w:rFonts w:ascii="Times New Roman" w:hAnsi="Times New Roman"/>
              </w:rPr>
              <w:t>Тверская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область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8900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Тверь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8A00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Достоевск</w:t>
            </w:r>
            <w:bookmarkStart w:id="11" w:name="_GoBack"/>
            <w:bookmarkEnd w:id="11"/>
            <w:r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.2</w:t>
            </w: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B000000">
            <w:pPr>
              <w:widowControl w:val="1"/>
              <w:ind w:left="-55" w:right="-6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C000000">
            <w:pPr>
              <w:widowControl w:val="1"/>
              <w:ind w:left="-54" w:right="-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Преимущественное право продажи участникам ООО «Газпром </w:t>
            </w:r>
            <w:r>
              <w:rPr>
                <w:rFonts w:ascii="Times New Roman" w:hAnsi="Times New Roman"/>
              </w:rPr>
              <w:t>теплоэнерго</w:t>
            </w:r>
            <w:r>
              <w:rPr>
                <w:rFonts w:ascii="Times New Roman" w:hAnsi="Times New Roman"/>
              </w:rPr>
              <w:t xml:space="preserve"> Тверь»</w:t>
            </w:r>
          </w:p>
          <w:p w14:paraId="8D000000">
            <w:pPr>
              <w:widowControl w:val="1"/>
              <w:ind w:left="-54" w:right="-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Открытый аукцион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E000000">
            <w:pPr>
              <w:widowControl w:val="1"/>
              <w:spacing w:after="0" w:line="240" w:lineRule="auto"/>
              <w:ind w:right="0"/>
              <w:jc w:val="both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Продано. Договор купли-продажи от 21.01.2026нотариально удостоверен</w:t>
            </w:r>
          </w:p>
        </w:tc>
      </w:tr>
    </w:tbl>
    <w:p w14:paraId="8F000000">
      <w:pPr>
        <w:widowControl w:val="1"/>
        <w:ind w:firstLine="708"/>
        <w:jc w:val="right"/>
        <w:outlineLvl w:val="0"/>
        <w:rPr>
          <w:rFonts w:ascii="Times New Roman" w:hAnsi="Times New Roman"/>
          <w:sz w:val="24"/>
        </w:rPr>
      </w:pPr>
      <w:bookmarkEnd w:id="10"/>
      <w:bookmarkEnd w:id="8"/>
      <w:r>
        <w:rPr>
          <w:rFonts w:ascii="Times New Roman" w:hAnsi="Times New Roman"/>
          <w:sz w:val="24"/>
        </w:rPr>
        <w:t>».</w:t>
      </w:r>
      <w:bookmarkEnd w:id="1"/>
    </w:p>
    <w:p w14:paraId="90000000"/>
    <w:sectPr>
      <w:headerReference r:id="rId1" w:type="default"/>
      <w:pgSz w:h="16838" w:orient="portrait" w:w="11906"/>
      <w:pgMar w:bottom="567" w:footer="0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1"/>
      <w:spacing w:after="0" w:line="240" w:lineRule="auto"/>
      <w:ind/>
    </w:pPr>
    <w:rPr>
      <w:rFonts w:ascii="Tms Rmn" w:hAnsi="Tms Rmn"/>
      <w:color w:val="000000"/>
      <w:sz w:val="20"/>
    </w:rPr>
  </w:style>
  <w:style w:default="1" w:styleId="Style_4_ch" w:type="character">
    <w:name w:val="Normal"/>
    <w:link w:val="Style_4"/>
    <w:rPr>
      <w:rFonts w:ascii="Tms Rmn" w:hAnsi="Tms Rmn"/>
      <w:color w:val="000000"/>
      <w:sz w:val="20"/>
    </w:rPr>
  </w:style>
  <w:style w:styleId="Style_5" w:type="paragraph">
    <w:name w:val="toc 2"/>
    <w:next w:val="Style_4"/>
    <w:link w:val="Style_5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1" w:type="paragraph">
    <w:name w:val="header"/>
    <w:basedOn w:val="Style_4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6" w:type="paragraph">
    <w:name w:val="toc 4"/>
    <w:next w:val="Style_4"/>
    <w:link w:val="Style_6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toc 3"/>
    <w:next w:val="Style_4"/>
    <w:link w:val="Style_12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4"/>
    <w:link w:val="Style_13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4"/>
    <w:link w:val="Style_14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4"/>
    <w:link w:val="Style_17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4"/>
    <w:link w:val="Style_19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4"/>
    <w:link w:val="Style_2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footer"/>
    <w:basedOn w:val="Style_4"/>
    <w:link w:val="Style_21_ch"/>
    <w:pPr>
      <w:widowControl w:val="1"/>
      <w:tabs>
        <w:tab w:leader="none" w:pos="4677" w:val="center"/>
        <w:tab w:leader="none" w:pos="9355" w:val="right"/>
      </w:tabs>
      <w:ind/>
    </w:pPr>
  </w:style>
  <w:style w:styleId="Style_21_ch" w:type="character">
    <w:name w:val="footer"/>
    <w:basedOn w:val="Style_4_ch"/>
    <w:link w:val="Style_21"/>
  </w:style>
  <w:style w:styleId="Style_22" w:type="paragraph">
    <w:name w:val="toc 5"/>
    <w:next w:val="Style_4"/>
    <w:link w:val="Style_2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4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Balloon Text"/>
    <w:basedOn w:val="Style_4"/>
    <w:link w:val="Style_24_ch"/>
    <w:rPr>
      <w:rFonts w:ascii="Segoe UI" w:hAnsi="Segoe UI"/>
      <w:sz w:val="18"/>
    </w:rPr>
  </w:style>
  <w:style w:styleId="Style_24_ch" w:type="character">
    <w:name w:val="Balloon Text"/>
    <w:basedOn w:val="Style_4_ch"/>
    <w:link w:val="Style_24"/>
    <w:rPr>
      <w:rFonts w:ascii="Segoe UI" w:hAnsi="Segoe UI"/>
      <w:sz w:val="18"/>
    </w:rPr>
  </w:style>
  <w:style w:styleId="Style_25" w:type="paragraph">
    <w:name w:val="Title"/>
    <w:next w:val="Style_4"/>
    <w:link w:val="Style_25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4"/>
    <w:link w:val="Style_26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4"/>
    <w:link w:val="Style_27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" w:type="table">
    <w:name w:val="Table Grid"/>
    <w:basedOn w:val="Style_3"/>
    <w:pPr>
      <w:widowControl w:val="1"/>
      <w:spacing w:after="0" w:line="240" w:lineRule="auto"/>
      <w:ind/>
    </w:pPr>
    <w:rPr>
      <w:color w:val="00000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2025-11-21T05:49:00Z</dcterms:created>
  <dcterms:modified xsi:type="dcterms:W3CDTF">2026-06-10T06:18:18Z</dcterms:modified>
</cp:coreProperties>
</file>