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88" w:lineRule="auto"/>
        <w:ind/>
        <w:jc w:val="center"/>
        <w:rPr>
          <w:b w:val="1"/>
        </w:rPr>
      </w:pPr>
      <w:bookmarkStart w:id="1" w:name="_Hlk534788097"/>
    </w:p>
    <w:p w14:paraId="0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АДМИНИСТРАЦИЯ КАШИНСКОГО МУНИЦИПАЛЬНОГО ОКРУГА</w:t>
      </w:r>
    </w:p>
    <w:p w14:paraId="04000000">
      <w:pPr>
        <w:widowControl w:val="0"/>
        <w:spacing w:line="288" w:lineRule="auto"/>
        <w:ind/>
        <w:jc w:val="center"/>
        <w:rPr>
          <w:b w:val="1"/>
        </w:rPr>
      </w:pPr>
      <w:r>
        <w:rPr>
          <w:b w:val="1"/>
        </w:rPr>
        <w:t>ТВЕРСКОЙ ОБЛАСТИ</w:t>
      </w:r>
      <w:r>
        <w:rPr>
          <w:b w:val="1"/>
        </w:rPr>
        <w:br/>
      </w:r>
    </w:p>
    <w:p w14:paraId="05000000">
      <w:pPr>
        <w:widowControl w:val="0"/>
        <w:spacing w:line="360" w:lineRule="auto"/>
        <w:ind/>
        <w:jc w:val="center"/>
        <w:outlineLvl w:val="0"/>
        <w:rPr>
          <w:b w:val="1"/>
          <w:sz w:val="32"/>
        </w:rPr>
      </w:pPr>
      <w:r>
        <w:rPr>
          <w:b w:val="1"/>
          <w:sz w:val="32"/>
        </w:rPr>
        <w:t>П О С Т А Н О В Л Е Н И Е</w:t>
      </w:r>
    </w:p>
    <w:tbl>
      <w:tblPr>
        <w:tblStyle w:val="Style_1"/>
        <w:tblW w:type="auto" w:w="0"/>
        <w:tblLayout w:type="fixed"/>
      </w:tblPr>
      <w:tblGrid>
        <w:gridCol w:w="486"/>
        <w:gridCol w:w="1984"/>
        <w:gridCol w:w="4726"/>
        <w:gridCol w:w="567"/>
        <w:gridCol w:w="1984"/>
      </w:tblGrid>
      <w:tr>
        <w:trPr>
          <w:trHeight w:hRule="atLeast" w:val="55"/>
        </w:trPr>
        <w:tc>
          <w:tcPr>
            <w:tcW w:type="dxa" w:w="486"/>
          </w:tcPr>
          <w:p w14:paraId="06000000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17.12.2025</w:t>
            </w:r>
          </w:p>
        </w:tc>
        <w:tc>
          <w:tcPr>
            <w:tcW w:type="dxa" w:w="4726"/>
          </w:tcPr>
          <w:p w14:paraId="0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 Кашин</w:t>
            </w:r>
          </w:p>
        </w:tc>
        <w:tc>
          <w:tcPr>
            <w:tcW w:type="dxa" w:w="567"/>
          </w:tcPr>
          <w:p w14:paraId="09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9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A000000">
            <w:pPr>
              <w:rPr>
                <w:sz w:val="28"/>
              </w:rPr>
            </w:pPr>
            <w:bookmarkEnd w:id="1"/>
            <w:r>
              <w:rPr>
                <w:sz w:val="28"/>
              </w:rPr>
              <w:t>879-1</w:t>
            </w:r>
          </w:p>
        </w:tc>
      </w:tr>
    </w:tbl>
    <w:p w14:paraId="0B000000">
      <w:pPr>
        <w:pStyle w:val="Style_2"/>
        <w:widowControl w:val="0"/>
        <w:ind w:right="5102"/>
        <w:rPr>
          <w:rFonts w:ascii="Times New Roman" w:hAnsi="Times New Roman"/>
          <w:sz w:val="28"/>
        </w:rPr>
      </w:pPr>
    </w:p>
    <w:p w14:paraId="0C000000">
      <w:pPr>
        <w:pStyle w:val="Style_2"/>
        <w:widowControl w:val="0"/>
        <w:ind w:righ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</w:t>
      </w:r>
      <w:bookmarkStart w:id="2" w:name="_Hlk84531495"/>
      <w:r>
        <w:rPr>
          <w:rFonts w:ascii="Times New Roman" w:hAnsi="Times New Roman"/>
          <w:sz w:val="24"/>
        </w:rPr>
        <w:t xml:space="preserve">программы профилактики рисков причинения вреда (ущерба) </w:t>
      </w:r>
      <w:r>
        <w:rPr>
          <w:rFonts w:ascii="Times New Roman" w:hAnsi="Times New Roman"/>
          <w:sz w:val="24"/>
        </w:rPr>
        <w:t xml:space="preserve">охраняемым законом ценностям по </w:t>
      </w:r>
      <w:bookmarkStart w:id="3" w:name="_Hlk95892226"/>
      <w:r>
        <w:rPr>
          <w:rFonts w:ascii="Times New Roman" w:hAnsi="Times New Roman"/>
          <w:sz w:val="24"/>
        </w:rPr>
        <w:t xml:space="preserve">муниципальному контролю </w:t>
      </w:r>
      <w:r>
        <w:rPr>
          <w:rFonts w:ascii="Times New Roman" w:hAnsi="Times New Roman"/>
          <w:sz w:val="24"/>
        </w:rPr>
        <w:t>на автомобильном транспорте</w:t>
      </w:r>
      <w:r>
        <w:rPr>
          <w:rFonts w:ascii="Times New Roman" w:hAnsi="Times New Roman"/>
          <w:sz w:val="24"/>
        </w:rPr>
        <w:t>, городском наземном электрическом транспорте</w:t>
      </w:r>
      <w:r>
        <w:rPr>
          <w:rFonts w:ascii="Times New Roman" w:hAnsi="Times New Roman"/>
          <w:sz w:val="24"/>
        </w:rPr>
        <w:t xml:space="preserve"> и в дорожном хозяйстве в </w:t>
      </w:r>
      <w:r>
        <w:rPr>
          <w:rFonts w:ascii="Times New Roman" w:hAnsi="Times New Roman"/>
          <w:sz w:val="24"/>
        </w:rPr>
        <w:t>Кашинско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муниципальном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Тверской области на 2026</w:t>
      </w:r>
      <w:r>
        <w:rPr>
          <w:rFonts w:ascii="Times New Roman" w:hAnsi="Times New Roman"/>
          <w:sz w:val="24"/>
        </w:rPr>
        <w:t xml:space="preserve"> год</w:t>
      </w:r>
      <w:bookmarkEnd w:id="3"/>
      <w:bookmarkEnd w:id="2"/>
    </w:p>
    <w:p w14:paraId="0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ind w:firstLine="709" w:left="0"/>
        <w:jc w:val="both"/>
        <w:rPr>
          <w:spacing w:val="2"/>
          <w:sz w:val="28"/>
        </w:rPr>
      </w:pPr>
      <w:r>
        <w:rPr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</w:rPr>
        <w:t xml:space="preserve">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</w:rPr>
        <w:t>Уставом Кашинского муниципального округа Тверской области и Положением о </w:t>
      </w:r>
      <w:r>
        <w:rPr>
          <w:sz w:val="28"/>
        </w:rPr>
        <w:t xml:space="preserve"> муниципально</w:t>
      </w:r>
      <w:r>
        <w:rPr>
          <w:sz w:val="28"/>
        </w:rPr>
        <w:t>м</w:t>
      </w:r>
      <w:r>
        <w:rPr>
          <w:sz w:val="28"/>
        </w:rPr>
        <w:t xml:space="preserve"> контрол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sz w:val="28"/>
        </w:rPr>
        <w:t xml:space="preserve"> в Кашинском муниципальном округе Тверской области</w:t>
      </w:r>
      <w:r>
        <w:rPr>
          <w:sz w:val="28"/>
        </w:rPr>
        <w:t>, утвержденным решением Думы Кашинского муниципального округа Тверской области от 30.09.2025 № 164</w:t>
      </w:r>
      <w:r>
        <w:rPr>
          <w:sz w:val="28"/>
        </w:rPr>
        <w:t>, с учетом категорий риска причинения вреда (ущерба)</w:t>
      </w:r>
      <w:r>
        <w:rPr>
          <w:sz w:val="28"/>
        </w:rPr>
        <w:t xml:space="preserve"> </w:t>
      </w:r>
      <w:r>
        <w:rPr>
          <w:sz w:val="28"/>
        </w:rPr>
        <w:t>охраняемым законом ценностям, к которым отнесены объекты контроля, Администрация Кашинского муниципального округа</w:t>
      </w:r>
    </w:p>
    <w:p w14:paraId="0F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1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bookmarkStart w:id="4" w:name="_Hlk84531649"/>
      <w:r>
        <w:rPr>
          <w:rFonts w:ascii="Times New Roman" w:hAnsi="Times New Roman"/>
          <w:sz w:val="28"/>
        </w:rPr>
        <w:t xml:space="preserve">программу профилактики рисков причинения вреда (ущерба) </w:t>
      </w:r>
      <w:bookmarkStart w:id="5" w:name="_Hlk84592952"/>
      <w:r>
        <w:rPr>
          <w:rFonts w:ascii="Times New Roman" w:hAnsi="Times New Roman"/>
          <w:sz w:val="28"/>
        </w:rPr>
        <w:t xml:space="preserve">охраняемым законом ценностям </w:t>
      </w:r>
      <w:bookmarkStart w:id="6" w:name="_Hlk95892309"/>
      <w:bookmarkEnd w:id="5"/>
      <w:r>
        <w:rPr>
          <w:rFonts w:ascii="Times New Roman" w:hAnsi="Times New Roman"/>
          <w:sz w:val="28"/>
        </w:rPr>
        <w:t xml:space="preserve">по муниципальному контролю </w:t>
      </w:r>
      <w:r>
        <w:rPr>
          <w:rFonts w:ascii="Times New Roman" w:hAnsi="Times New Roman"/>
          <w:spacing w:val="2"/>
          <w:sz w:val="28"/>
        </w:rPr>
        <w:t>на автомобильном транспорте</w:t>
      </w:r>
      <w:r>
        <w:rPr>
          <w:rFonts w:ascii="Times New Roman" w:hAnsi="Times New Roman"/>
          <w:spacing w:val="2"/>
          <w:sz w:val="28"/>
        </w:rPr>
        <w:t>, городском наземном электрическом транспорте</w:t>
      </w:r>
      <w:r>
        <w:rPr>
          <w:rFonts w:ascii="Times New Roman" w:hAnsi="Times New Roman"/>
          <w:spacing w:val="2"/>
          <w:sz w:val="28"/>
        </w:rPr>
        <w:t xml:space="preserve"> и в дорожном хозяйстве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Тверской области на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bookmarkEnd w:id="4"/>
      <w:bookmarkEnd w:id="6"/>
      <w:r>
        <w:rPr>
          <w:rFonts w:ascii="Times New Roman" w:hAnsi="Times New Roman"/>
          <w:sz w:val="28"/>
        </w:rPr>
        <w:t>(прилагается).</w:t>
      </w:r>
    </w:p>
    <w:p w14:paraId="1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Кашинского муниципального округа Тверской области, </w:t>
      </w:r>
      <w:r>
        <w:rPr>
          <w:rFonts w:ascii="Times New Roman" w:hAnsi="Times New Roman"/>
          <w:sz w:val="28"/>
        </w:rPr>
        <w:t xml:space="preserve">заведующего отделом по строительству, транспорту, связи и </w:t>
      </w:r>
      <w:r>
        <w:rPr>
          <w:rFonts w:ascii="Times New Roman" w:hAnsi="Times New Roman"/>
          <w:sz w:val="28"/>
        </w:rPr>
        <w:t>жилищно-коммунальному хозяйству,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Фокеева В. В</w:t>
      </w:r>
      <w:r>
        <w:rPr>
          <w:rFonts w:ascii="Times New Roman" w:hAnsi="Times New Roman"/>
          <w:sz w:val="28"/>
        </w:rPr>
        <w:t>.</w:t>
      </w:r>
    </w:p>
    <w:p w14:paraId="1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Настоящее постановление вступает в силу </w:t>
      </w:r>
      <w:r>
        <w:rPr>
          <w:rFonts w:ascii="Times New Roman" w:hAnsi="Times New Roman"/>
          <w:sz w:val="28"/>
        </w:rPr>
        <w:t>с 01.01.2026, подлежит</w:t>
      </w:r>
      <w:r>
        <w:rPr>
          <w:rFonts w:ascii="Times New Roman" w:hAnsi="Times New Roman"/>
          <w:sz w:val="28"/>
        </w:rPr>
        <w:t xml:space="preserve"> официально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опубликовани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в газете «Кашинская газета» и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1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widowControl w:val="0"/>
        <w:ind w:firstLine="709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исполняющий полномочия </w:t>
      </w:r>
    </w:p>
    <w:p w14:paraId="19000000">
      <w:pPr>
        <w:pStyle w:val="Style_2"/>
        <w:widowControl w:val="0"/>
        <w:ind w:firstLine="709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Кашинского муниципального округа </w:t>
      </w:r>
    </w:p>
    <w:p w14:paraId="1A000000">
      <w:pPr>
        <w:pStyle w:val="Style_2"/>
        <w:widowControl w:val="0"/>
        <w:ind w:firstLine="709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                                                                                              А.В. Рагузин</w:t>
      </w:r>
    </w:p>
    <w:p w14:paraId="1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3B000000">
      <w:pPr>
        <w:pStyle w:val="Style_2"/>
        <w:widowControl w:val="0"/>
        <w:ind w:firstLine="0" w:left="-140" w:right="-1"/>
        <w:jc w:val="left"/>
        <w:rPr>
          <w:rFonts w:ascii="Times New Roman" w:hAnsi="Times New Roman"/>
          <w:sz w:val="28"/>
        </w:rPr>
      </w:pPr>
    </w:p>
    <w:p w14:paraId="3C000000">
      <w:pPr>
        <w:pStyle w:val="Style_2"/>
        <w:widowControl w:val="0"/>
        <w:ind w:firstLine="0" w:left="5529" w:right="-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3D000000">
      <w:pPr>
        <w:pStyle w:val="Style_2"/>
        <w:widowControl w:val="0"/>
        <w:ind w:firstLine="0" w:left="5529" w:right="-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Кашинского муниципального округа Тверской области</w:t>
      </w:r>
    </w:p>
    <w:p w14:paraId="3E000000">
      <w:pPr>
        <w:pStyle w:val="Style_2"/>
        <w:widowControl w:val="0"/>
        <w:ind w:firstLine="0" w:left="5529" w:right="-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  <w:u w:val="single"/>
        </w:rPr>
        <w:t>17.12.2025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879-1</w:t>
      </w:r>
      <w:bookmarkStart w:id="7" w:name="_GoBack"/>
      <w:bookmarkEnd w:id="7"/>
    </w:p>
    <w:p w14:paraId="3F000000">
      <w:pPr>
        <w:pStyle w:val="Style_2"/>
        <w:widowControl w:val="0"/>
        <w:ind w:right="-1"/>
        <w:jc w:val="left"/>
        <w:rPr>
          <w:rFonts w:ascii="Times New Roman" w:hAnsi="Times New Roman"/>
          <w:sz w:val="28"/>
        </w:rPr>
      </w:pPr>
    </w:p>
    <w:p w14:paraId="40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1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2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3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44000000">
      <w:pPr>
        <w:pStyle w:val="Style_2"/>
        <w:widowControl w:val="0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bookmarkStart w:id="8" w:name="_Hlk84539687"/>
      <w:bookmarkStart w:id="9" w:name="_Hlk129958945"/>
      <w:r>
        <w:rPr>
          <w:rFonts w:ascii="Times New Roman" w:hAnsi="Times New Roman"/>
          <w:b w:val="1"/>
          <w:sz w:val="28"/>
        </w:rPr>
        <w:t>по</w:t>
      </w:r>
      <w:bookmarkEnd w:id="8"/>
      <w:r>
        <w:rPr>
          <w:rFonts w:ascii="Times New Roman" w:hAnsi="Times New Roman"/>
          <w:b w:val="1"/>
          <w:sz w:val="28"/>
        </w:rPr>
        <w:t xml:space="preserve"> муниципальному </w:t>
      </w:r>
      <w:r>
        <w:rPr>
          <w:rFonts w:ascii="Times New Roman" w:hAnsi="Times New Roman"/>
          <w:b w:val="1"/>
          <w:sz w:val="28"/>
        </w:rPr>
        <w:t xml:space="preserve">контролю </w:t>
      </w:r>
      <w:r>
        <w:rPr>
          <w:rFonts w:ascii="Times New Roman" w:hAnsi="Times New Roman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Кашинском муниципальном округе Тверской области </w:t>
      </w:r>
      <w:bookmarkEnd w:id="9"/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45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6000000">
      <w:pPr>
        <w:pStyle w:val="Style_2"/>
        <w:widowControl w:val="0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 </w:t>
      </w:r>
      <w:r>
        <w:rPr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Анализ текущего состояния осуществления </w:t>
      </w:r>
      <w:r>
        <w:rPr>
          <w:rFonts w:ascii="XO Thames" w:hAnsi="XO Thames"/>
          <w:b w:val="1"/>
          <w:sz w:val="28"/>
        </w:rPr>
        <w:t>муниципально</w:t>
      </w:r>
      <w:r>
        <w:rPr>
          <w:rFonts w:ascii="XO Thames" w:hAnsi="XO Thames"/>
          <w:b w:val="1"/>
          <w:sz w:val="28"/>
        </w:rPr>
        <w:t>го</w:t>
      </w:r>
      <w:r>
        <w:rPr>
          <w:rFonts w:ascii="XO Thames" w:hAnsi="XO Thames"/>
          <w:b w:val="1"/>
          <w:sz w:val="28"/>
        </w:rPr>
        <w:t xml:space="preserve"> контрол</w:t>
      </w:r>
      <w:r>
        <w:rPr>
          <w:rFonts w:ascii="XO Thames" w:hAnsi="XO Thames"/>
          <w:b w:val="1"/>
          <w:sz w:val="28"/>
        </w:rPr>
        <w:t>я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 Кашинском муниципальном округе Тверской области</w:t>
      </w:r>
      <w:r>
        <w:rPr>
          <w:rFonts w:ascii="XO Thames" w:hAnsi="XO Thames"/>
          <w:b w:val="1"/>
          <w:sz w:val="28"/>
        </w:rPr>
        <w:t xml:space="preserve">, описание </w:t>
      </w:r>
      <w:r>
        <w:rPr>
          <w:rFonts w:ascii="XO Thames" w:hAnsi="XO Thames"/>
          <w:b w:val="1"/>
          <w:sz w:val="28"/>
        </w:rPr>
        <w:t xml:space="preserve">текущего развития профилактической деятельности </w:t>
      </w:r>
      <w:r>
        <w:rPr>
          <w:rFonts w:ascii="XO Thames" w:hAnsi="XO Thames"/>
          <w:b w:val="1"/>
          <w:sz w:val="28"/>
        </w:rPr>
        <w:t xml:space="preserve">контрольного органа, </w:t>
      </w:r>
      <w:r>
        <w:rPr>
          <w:rFonts w:ascii="XO Thames" w:hAnsi="XO Thames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47000000">
      <w:pPr>
        <w:pStyle w:val="Style_2"/>
        <w:widowControl w:val="0"/>
        <w:ind w:right="-1"/>
        <w:rPr>
          <w:rFonts w:ascii="Times New Roman" w:hAnsi="Times New Roman"/>
          <w:sz w:val="28"/>
        </w:rPr>
      </w:pPr>
    </w:p>
    <w:p w14:paraId="48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 Настоящая программа профилактики рисков причинения вреда (ущерба) охраняемым законом ценностям </w:t>
      </w:r>
      <w:r>
        <w:rPr>
          <w:color w:val="000000"/>
          <w:sz w:val="28"/>
        </w:rPr>
        <w:t xml:space="preserve">по муниципальному контролю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color w:val="000000"/>
          <w:sz w:val="28"/>
        </w:rPr>
        <w:t xml:space="preserve"> в Кашинском муниципальном округе Тверской области на 2026</w:t>
      </w:r>
      <w:r>
        <w:rPr>
          <w:color w:val="000000"/>
          <w:sz w:val="28"/>
        </w:rPr>
        <w:t xml:space="preserve"> год </w:t>
      </w:r>
      <w:r>
        <w:rPr>
          <w:color w:val="000000"/>
          <w:sz w:val="28"/>
        </w:rPr>
        <w:t>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постановлением Правительства Российской Федерации от 25.06.2021 № 990 «Об 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ценностям». </w:t>
      </w: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ЖКХ (далее также — уполномоченный орган, контрольный орган).</w:t>
      </w:r>
    </w:p>
    <w:p w14:paraId="49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Муниципальный контроль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sz w:val="28"/>
        </w:rPr>
        <w:t xml:space="preserve"> </w:t>
      </w:r>
      <w:r>
        <w:rPr>
          <w:sz w:val="28"/>
        </w:rPr>
        <w:t xml:space="preserve">в границах </w:t>
      </w:r>
      <w:r>
        <w:rPr>
          <w:sz w:val="28"/>
        </w:rPr>
        <w:t>Кашинского муниципального округа Тверской области в 2025</w:t>
      </w:r>
      <w:r>
        <w:rPr>
          <w:sz w:val="28"/>
        </w:rPr>
        <w:t xml:space="preserve"> </w:t>
      </w:r>
      <w:r>
        <w:rPr>
          <w:sz w:val="28"/>
        </w:rPr>
        <w:t>году не осуществлялся.</w:t>
      </w:r>
    </w:p>
    <w:p w14:paraId="4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За период 2025</w:t>
      </w:r>
      <w:r>
        <w:rPr>
          <w:sz w:val="28"/>
        </w:rPr>
        <w:t xml:space="preserve"> года в сфере муниципального контроля за сохранностью автомобильных дорог местного значения в границах </w:t>
      </w:r>
      <w:r>
        <w:rPr>
          <w:sz w:val="28"/>
        </w:rPr>
        <w:t>Кашинского муниципального округа</w:t>
      </w:r>
      <w:r>
        <w:rPr>
          <w:sz w:val="28"/>
        </w:rPr>
        <w:t xml:space="preserve"> плановых, внеплановых выездных проверок по соблюдению юридическими лицами, индивидуальными предпринимателями и гражданами обязательных требований, не проводилось. </w:t>
      </w:r>
    </w:p>
    <w:p w14:paraId="4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Мероприятия по контролю без взаимодействия с юридическими лицами, индивидуальными предпринимателями не проводились.</w:t>
      </w:r>
    </w:p>
    <w:p w14:paraId="4C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2026</w:t>
      </w:r>
      <w:r>
        <w:rPr>
          <w:sz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4D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 Профилактическое сопровождение контролируемых лиц в текущем периоде направлено на:</w:t>
      </w:r>
    </w:p>
    <w:p w14:paraId="4E000000">
      <w:pPr>
        <w:widowControl w:val="0"/>
        <w:ind/>
        <w:jc w:val="both"/>
        <w:rPr>
          <w:sz w:val="28"/>
        </w:rPr>
      </w:pPr>
      <w:r>
        <w:rPr>
          <w:sz w:val="28"/>
        </w:rPr>
        <w:t>-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4F000000">
      <w:pPr>
        <w:widowControl w:val="0"/>
        <w:ind/>
        <w:jc w:val="both"/>
        <w:rPr>
          <w:sz w:val="28"/>
        </w:rPr>
      </w:pPr>
      <w:r>
        <w:rPr>
          <w:sz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50000000">
      <w:pPr>
        <w:widowControl w:val="0"/>
        <w:ind/>
        <w:jc w:val="both"/>
        <w:rPr>
          <w:sz w:val="28"/>
        </w:rPr>
      </w:pPr>
      <w:r>
        <w:rPr>
          <w:sz w:val="28"/>
        </w:rPr>
        <w:t>- обсуждение правоприменительной практики за соблюдением контролируемыми лицами требований</w:t>
      </w:r>
      <w:r>
        <w:rPr>
          <w:sz w:val="28"/>
        </w:rPr>
        <w:t xml:space="preserve"> законодательства в сфере </w:t>
      </w:r>
      <w:r>
        <w:rPr>
          <w:sz w:val="28"/>
        </w:rPr>
        <w:t>автомобильного транспорта и дорожного хозяйства.</w:t>
      </w:r>
    </w:p>
    <w:p w14:paraId="51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программы профилактики буде</w:t>
      </w:r>
      <w:r>
        <w:rPr>
          <w:sz w:val="28"/>
        </w:rPr>
        <w:t xml:space="preserve">т способствовать частичному решению обозначенных проблем в связи с повышением </w:t>
      </w:r>
      <w:r>
        <w:rPr>
          <w:sz w:val="28"/>
        </w:rPr>
        <w:t>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52000000">
      <w:pPr>
        <w:widowControl w:val="0"/>
        <w:ind w:firstLine="708" w:left="0"/>
        <w:jc w:val="both"/>
        <w:rPr>
          <w:sz w:val="28"/>
          <w:highlight w:val="yellow"/>
        </w:rPr>
      </w:pPr>
    </w:p>
    <w:p w14:paraId="5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54000000">
      <w:pPr>
        <w:widowControl w:val="0"/>
        <w:ind/>
        <w:jc w:val="both"/>
        <w:rPr>
          <w:sz w:val="28"/>
        </w:rPr>
      </w:pPr>
    </w:p>
    <w:p w14:paraId="5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 Основные цели реализации программы профилактики</w:t>
      </w:r>
      <w:r>
        <w:rPr>
          <w:sz w:val="28"/>
        </w:rPr>
        <w:t>:</w:t>
      </w:r>
    </w:p>
    <w:p w14:paraId="56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</w:t>
      </w:r>
      <w:r>
        <w:rPr>
          <w:sz w:val="28"/>
        </w:rPr>
        <w:t xml:space="preserve"> местного значения, а также требований, </w:t>
      </w:r>
      <w:r>
        <w:rPr>
          <w:sz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57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5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5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5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 xml:space="preserve">в том числе путем обеспечения доступности информации об обязательных требованиях законодательства в сфере </w:t>
      </w:r>
      <w:r>
        <w:rPr>
          <w:sz w:val="28"/>
        </w:rPr>
        <w:t>автомобильного транспорта и дорожного хозяйства</w:t>
      </w:r>
      <w:r>
        <w:rPr>
          <w:sz w:val="28"/>
        </w:rPr>
        <w:t xml:space="preserve"> и необходимых мерах по их исполнению.</w:t>
      </w:r>
    </w:p>
    <w:p w14:paraId="5C000000">
      <w:pPr>
        <w:rPr>
          <w:sz w:val="28"/>
        </w:rPr>
      </w:pPr>
    </w:p>
    <w:p w14:paraId="5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5E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5F000000">
      <w:pPr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9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66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</w:p>
          <w:p w14:paraId="67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</w:t>
            </w:r>
            <w:r>
              <w:t xml:space="preserve">Кашинского муниципального округа Тверской области </w:t>
            </w:r>
            <w:r>
              <w:t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68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6D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6E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73000000">
            <w:pPr>
              <w:widowControl w:val="0"/>
              <w:ind/>
              <w:jc w:val="center"/>
            </w:pPr>
          </w:p>
          <w:p w14:paraId="74000000">
            <w:pPr>
              <w:widowControl w:val="0"/>
              <w:ind/>
              <w:jc w:val="center"/>
            </w:pPr>
            <w: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>
              <w:t xml:space="preserve">контроля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t xml:space="preserve"> </w:t>
            </w:r>
            <w:r>
              <w:t>в Кашинском муниципальном округе Тверской области</w:t>
            </w:r>
            <w:r>
              <w:t>:</w:t>
            </w:r>
          </w:p>
          <w:p w14:paraId="75000000">
            <w:pPr>
              <w:widowControl w:val="0"/>
              <w:ind/>
              <w:jc w:val="center"/>
            </w:pPr>
          </w:p>
          <w:p w14:paraId="76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77000000">
            <w:pPr>
              <w:widowControl w:val="0"/>
              <w:ind/>
              <w:jc w:val="center"/>
            </w:pPr>
          </w:p>
          <w:p w14:paraId="78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79000000">
            <w:pPr>
              <w:widowControl w:val="0"/>
              <w:ind/>
              <w:jc w:val="center"/>
            </w:pPr>
          </w:p>
          <w:p w14:paraId="7A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7B000000">
            <w:pPr>
              <w:widowControl w:val="0"/>
              <w:ind/>
              <w:jc w:val="center"/>
            </w:pPr>
          </w:p>
          <w:p w14:paraId="7C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7D000000">
            <w:pPr>
              <w:widowControl w:val="0"/>
              <w:ind/>
              <w:jc w:val="center"/>
            </w:pPr>
          </w:p>
          <w:p w14:paraId="7E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7F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80000000">
            <w:pPr>
              <w:widowControl w:val="0"/>
              <w:ind/>
              <w:jc w:val="center"/>
            </w:pPr>
          </w:p>
          <w:p w14:paraId="81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82000000">
            <w:pPr>
              <w:widowControl w:val="0"/>
              <w:ind/>
              <w:jc w:val="center"/>
            </w:pPr>
          </w:p>
          <w:p w14:paraId="83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84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85000000">
            <w:pPr>
              <w:widowControl w:val="0"/>
              <w:ind/>
              <w:jc w:val="center"/>
            </w:pPr>
          </w:p>
          <w:p w14:paraId="86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87000000">
            <w:pPr>
              <w:widowControl w:val="0"/>
              <w:ind/>
              <w:jc w:val="center"/>
            </w:pPr>
          </w:p>
          <w:p w14:paraId="88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89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8A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rPr>
          <w:trHeight w:hRule="atLeast" w:val="20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00000">
            <w:pPr>
              <w:widowControl w:val="0"/>
              <w:ind/>
              <w:jc w:val="center"/>
            </w:pPr>
            <w:r>
              <w:t>4.</w:t>
            </w:r>
          </w:p>
        </w:tc>
        <w:tc>
          <w:tcPr>
            <w:tcW w:type="dxa" w:w="4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  <w:color w:themeColor="text1" w:val="000000"/>
              </w:rPr>
              <w:t>ПРОФИЛАКТИЧЕСКИЙ ВИЗИТ</w:t>
            </w:r>
          </w:p>
          <w:p w14:paraId="8F000000">
            <w:pPr>
              <w:widowControl w:val="0"/>
              <w:ind/>
              <w:jc w:val="center"/>
              <w:rPr>
                <w:b w:val="1"/>
              </w:rPr>
            </w:pPr>
          </w:p>
          <w:p w14:paraId="90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color w:themeColor="text1" w:val="000000"/>
              </w:rPr>
              <w:t>В ходе которого контролируемое лицо</w:t>
            </w:r>
            <w: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00000">
            <w:pPr>
              <w:widowControl w:val="0"/>
              <w:ind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93000000">
      <w:pPr>
        <w:widowControl w:val="0"/>
        <w:ind/>
        <w:jc w:val="both"/>
        <w:rPr>
          <w:sz w:val="28"/>
        </w:rPr>
      </w:pPr>
    </w:p>
    <w:p w14:paraId="9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95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96000000">
      <w:pPr>
        <w:rPr>
          <w:sz w:val="28"/>
        </w:rPr>
      </w:pPr>
    </w:p>
    <w:tbl>
      <w:tblPr>
        <w:tblStyle w:val="Style_1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 Тверской области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</w:t>
            </w:r>
            <w:r>
              <w:t xml:space="preserve"> </w:t>
            </w:r>
            <w:r>
              <w:t xml:space="preserve">по вопросам, связанным с организацией и осуществлением </w:t>
            </w:r>
            <w:r>
              <w:t>муниципально</w:t>
            </w:r>
            <w:r>
              <w:t>го</w:t>
            </w:r>
            <w:r>
              <w:t xml:space="preserve"> контрол</w:t>
            </w:r>
            <w:r>
              <w:t>я</w:t>
            </w:r>
            <w:r>
              <w:t xml:space="preserve">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A0000000">
      <w:pPr>
        <w:widowControl w:val="0"/>
        <w:ind/>
        <w:jc w:val="both"/>
        <w:rPr>
          <w:sz w:val="28"/>
        </w:rPr>
      </w:pPr>
    </w:p>
    <w:sectPr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andard"/>
    <w:link w:val="Style_10_ch"/>
    <w:pPr>
      <w:widowControl w:val="0"/>
      <w:ind/>
    </w:pPr>
    <w:rPr>
      <w:sz w:val="24"/>
    </w:rPr>
  </w:style>
  <w:style w:styleId="Style_10_ch" w:type="character">
    <w:name w:val="Standard"/>
    <w:link w:val="Style_10"/>
    <w:rPr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FollowedHyperlink"/>
    <w:basedOn w:val="Style_11"/>
    <w:link w:val="Style_12_ch"/>
    <w:rPr>
      <w:color w:themeColor="followedHyperlink" w:val="954F72"/>
      <w:u w:val="single"/>
    </w:rPr>
  </w:style>
  <w:style w:styleId="Style_12_ch" w:type="character">
    <w:name w:val="FollowedHyperlink"/>
    <w:basedOn w:val="Style_11_ch"/>
    <w:link w:val="Style_12"/>
    <w:rPr>
      <w:color w:themeColor="followedHyperlink" w:val="954F72"/>
      <w:u w:val="single"/>
    </w:rPr>
  </w:style>
  <w:style w:styleId="Style_13" w:type="paragraph">
    <w:name w:val="List Paragraph"/>
    <w:basedOn w:val="Style_3"/>
    <w:link w:val="Style_13_ch"/>
    <w:pPr>
      <w:widowControl w:val="0"/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1"/>
    <w:link w:val="Style_17_ch"/>
    <w:rPr>
      <w:color w:themeColor="hyperlink" w:val="0563C1"/>
      <w:u w:val="single"/>
    </w:rPr>
  </w:style>
  <w:style w:styleId="Style_17_ch" w:type="character">
    <w:name w:val="Hyperlink"/>
    <w:basedOn w:val="Style_11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2" w:type="paragraph">
    <w:name w:val="HTML Preformatted"/>
    <w:basedOn w:val="Style_3"/>
    <w:link w:val="Style_2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3_ch"/>
    <w:link w:val="Style_2"/>
    <w:rPr>
      <w:rFonts w:ascii="Courier New" w:hAnsi="Courier New"/>
      <w:sz w:val="20"/>
    </w:rPr>
  </w:style>
  <w:style w:styleId="Style_19" w:type="paragraph">
    <w:name w:val="toc 1"/>
    <w:next w:val="Style_3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Balloon Text"/>
    <w:basedOn w:val="Style_3"/>
    <w:link w:val="Style_21_ch"/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2" w:type="paragraph">
    <w:name w:val="toc 9"/>
    <w:next w:val="Style_3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header"/>
    <w:basedOn w:val="Style_3"/>
    <w:link w:val="Style_24_ch"/>
    <w:pPr>
      <w:widowControl w:val="0"/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3_ch"/>
    <w:link w:val="Style_24"/>
  </w:style>
  <w:style w:styleId="Style_25" w:type="paragraph">
    <w:name w:val="toc 5"/>
    <w:next w:val="Style_3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msonormal"/>
    <w:basedOn w:val="Style_3"/>
    <w:link w:val="Style_26_ch"/>
    <w:pPr>
      <w:widowControl w:val="0"/>
      <w:spacing w:afterAutospacing="on" w:beforeAutospacing="on"/>
      <w:ind/>
    </w:pPr>
  </w:style>
  <w:style w:styleId="Style_26_ch" w:type="character">
    <w:name w:val="msonormal"/>
    <w:basedOn w:val="Style_3_ch"/>
    <w:link w:val="Style_26"/>
  </w:style>
  <w:style w:styleId="Style_27" w:type="paragraph">
    <w:name w:val="Subtitle"/>
    <w:next w:val="Style_3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oter"/>
    <w:basedOn w:val="Style_3"/>
    <w:link w:val="Style_31_ch"/>
    <w:pPr>
      <w:widowControl w:val="0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3_ch"/>
    <w:link w:val="Style_31"/>
  </w:style>
  <w:style w:styleId="Style_3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2025-12-12T06:58:27Z</dcterms:created>
  <dcterms:modified xsi:type="dcterms:W3CDTF">2025-12-22T11:23:30Z</dcterms:modified>
</cp:coreProperties>
</file>