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jc w:val="center"/>
        <w:tblLayout w:type="fixed"/>
      </w:tblPr>
      <w:tblGrid>
        <w:gridCol w:w="4820"/>
        <w:gridCol w:w="284"/>
        <w:gridCol w:w="4157"/>
      </w:tblGrid>
      <w:tr>
        <w:tc>
          <w:tcPr>
            <w:tcW w:type="dxa" w:w="9261"/>
            <w:gridSpan w:val="3"/>
          </w:tcPr>
          <w:p w14:paraId="0B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6"/>
              </w:rPr>
              <w:drawing>
                <wp:inline>
                  <wp:extent cx="673227" cy="833499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4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C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</w:t>
            </w:r>
          </w:p>
          <w:p w14:paraId="0D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E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F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-3898582</wp:posOffset>
                      </wp:positionH>
                      <wp:positionV relativeFrom="page">
                        <wp:posOffset>325754</wp:posOffset>
                      </wp:positionV>
                      <wp:extent cx="312418" cy="1274444"/>
                      <wp:wrapNone/>
                      <wp:docPr hidden="false" id="7" name="Picture 7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312418" cy="1274444"/>
                                <a:chOff x="0" y="0"/>
                                <a:chExt cx="312418" cy="1274444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89262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259522" y="0"/>
                                  <a:ext cx="52895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00000">
                                    <w:pPr>
                                      <w:pStyle w:val="Style_2"/>
                                      <w:rPr>
                                        <w:color w:val="000000"/>
                                        <w:spacing w:val="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XO Thames" w:hAnsi="XO Thames"/>
                <w:b w:val="1"/>
                <w:sz w:val="28"/>
              </w:rPr>
              <w:t>Р Е Ш Е Н И Е</w:t>
            </w:r>
          </w:p>
          <w:p w14:paraId="12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13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>от 02.12.2025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       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 189</w:t>
            </w:r>
          </w:p>
        </w:tc>
      </w:tr>
      <w:tr>
        <w:tc>
          <w:tcPr>
            <w:tcW w:type="dxa" w:w="4820"/>
            <w:shd w:fill="auto" w:val="clear"/>
          </w:tcPr>
          <w:p w14:paraId="14000000">
            <w:pPr>
              <w:widowControl w:val="1"/>
              <w:ind w:right="10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 утверждении перечня земельных участков, находящихся в муниципальной собственности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муниципального образования Кашинский муниципальный округ Тверской области, подлежащих передаче в государственную собственность Тверской области </w:t>
            </w:r>
          </w:p>
        </w:tc>
        <w:tc>
          <w:tcPr>
            <w:tcW w:type="dxa" w:w="284"/>
            <w:shd w:fill="auto" w:val="clear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57"/>
            <w:shd w:fill="auto" w:val="clear"/>
          </w:tcPr>
          <w:p w14:paraId="16000000">
            <w:pPr>
              <w:widowControl w:val="1"/>
              <w:tabs>
                <w:tab w:leader="none" w:pos="4358" w:val="left"/>
              </w:tabs>
              <w:ind w:right="-2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17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8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9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A000000">
      <w:pPr>
        <w:widowControl w:val="1"/>
        <w:ind w:firstLine="709"/>
        <w:jc w:val="both"/>
        <w:rPr>
          <w:rFonts w:ascii="PT Sans" w:hAnsi="PT Sans"/>
          <w:b w:val="1"/>
          <w:i w:val="0"/>
          <w:caps w:val="0"/>
          <w:color w:val="000000"/>
          <w:spacing w:val="0"/>
          <w:sz w:val="24"/>
          <w:highlight w:val="white"/>
        </w:rPr>
      </w:pPr>
      <w:r>
        <w:rPr>
          <w:rStyle w:val="Style_5_ch"/>
          <w:rFonts w:ascii="XO Thames" w:hAnsi="XO Thames"/>
          <w:sz w:val="28"/>
        </w:rPr>
        <w:t>С учетом обращений Министерства имущественных и земельных отношений Тверской области от 27.10.2025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5_ch"/>
          <w:rFonts w:ascii="XO Thames" w:hAnsi="XO Thames"/>
          <w:sz w:val="28"/>
        </w:rPr>
        <w:t>01-08/13809-ОГ в соответствии с Федеральным законом</w:t>
      </w:r>
      <w:r>
        <w:rPr>
          <w:rFonts w:ascii="XO Thames" w:hAnsi="XO Thames"/>
          <w:sz w:val="28"/>
        </w:rPr>
        <w:t xml:space="preserve"> от 06.10.2003 №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131-ФЗ «Об общих принципах организации местного самоуправления в Российской Федерации»,</w:t>
      </w:r>
      <w:r>
        <w:rPr>
          <w:rStyle w:val="Style_5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 xml:space="preserve">Федеральным законом </w:t>
      </w:r>
      <w:r>
        <w:rPr>
          <w:rStyle w:val="Style_2_ch"/>
          <w:rFonts w:ascii="XO Thames" w:hAnsi="XO Thames"/>
          <w:sz w:val="28"/>
        </w:rPr>
        <w:t>от 22.08.2004 № 122-ФЗ</w:t>
      </w:r>
      <w:r>
        <w:rPr>
          <w:rStyle w:val="Style_2_ch"/>
          <w:rFonts w:ascii="XO Thames" w:hAnsi="XO Thames"/>
          <w:sz w:val="28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rPr>
          <w:rStyle w:val="Style_5_ch"/>
          <w:rFonts w:ascii="XO Thames" w:hAnsi="XO Thames"/>
          <w:sz w:val="28"/>
        </w:rPr>
        <w:t>Федеральным законом</w:t>
      </w:r>
      <w:r>
        <w:rPr>
          <w:rStyle w:val="Style_5_ch"/>
          <w:rFonts w:ascii="XO Thames" w:hAnsi="XO Thames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rStyle w:val="Style_2_ch"/>
          <w:rFonts w:ascii="XO Thames" w:hAnsi="XO Thames"/>
          <w:sz w:val="28"/>
        </w:rPr>
        <w:t xml:space="preserve">  п</w:t>
      </w:r>
      <w:r>
        <w:rPr>
          <w:rStyle w:val="Style_5_ch"/>
          <w:rFonts w:ascii="XO Thames" w:hAnsi="XO Thames"/>
          <w:sz w:val="28"/>
        </w:rPr>
        <w:t xml:space="preserve">остановлением Правительства Российской Федерации от 13.06.2006 № 374 </w:t>
      </w:r>
      <w:r>
        <w:rPr>
          <w:rStyle w:val="Style_5_ch"/>
          <w:rFonts w:ascii="XO Thames" w:hAnsi="XO Thames"/>
          <w:sz w:val="28"/>
        </w:rPr>
        <w:t>«</w:t>
      </w:r>
      <w:r>
        <w:rPr>
          <w:rStyle w:val="Style_5_ch"/>
          <w:rFonts w:ascii="XO Thames" w:hAnsi="XO Thames"/>
          <w:sz w:val="28"/>
        </w:rPr>
        <w:t xml:space="preserve">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</w:t>
      </w:r>
      <w:r>
        <w:rPr>
          <w:rStyle w:val="Style_5_ch"/>
          <w:rFonts w:ascii="XO Thames" w:hAnsi="XO Thames"/>
          <w:sz w:val="28"/>
        </w:rPr>
        <w:t>Федерации в федеральную собственность или муниципальную собственность, из муниципальной собственности в федеральную собстве</w:t>
      </w:r>
      <w:r>
        <w:rPr>
          <w:rStyle w:val="Style_5_ch"/>
          <w:rFonts w:ascii="XO Thames" w:hAnsi="XO Thames"/>
          <w:sz w:val="28"/>
        </w:rPr>
        <w:t xml:space="preserve">нность или </w:t>
      </w:r>
      <w:r>
        <w:rPr>
          <w:rStyle w:val="Style_5_ch"/>
          <w:rFonts w:ascii="XO Thames" w:hAnsi="XO Thames"/>
          <w:sz w:val="28"/>
        </w:rPr>
        <w:t xml:space="preserve">собственность субъекта Российской Федерации», </w:t>
      </w:r>
      <w:r>
        <w:rPr>
          <w:rStyle w:val="Style_5_ch"/>
          <w:rFonts w:ascii="XO Thames" w:hAnsi="XO Thames"/>
          <w:sz w:val="28"/>
        </w:rPr>
        <w:t xml:space="preserve">Уставом Кашинского муниципального округа Тверской области, </w:t>
      </w:r>
      <w:r>
        <w:rPr>
          <w:rStyle w:val="Style_5_ch"/>
          <w:rFonts w:ascii="XO Thames" w:hAnsi="XO Thames"/>
          <w:sz w:val="28"/>
        </w:rPr>
        <w:t>Порядком управления и распоряжения имуществом, находящимся в муниципальной собственности муниципального образования Кашинский городской округ Тверской области</w:t>
      </w:r>
      <w:r>
        <w:rPr>
          <w:rStyle w:val="Style_5_ch"/>
          <w:rFonts w:ascii="XO Thames" w:hAnsi="XO Thames"/>
          <w:sz w:val="28"/>
        </w:rPr>
        <w:t xml:space="preserve">, утвержденным </w:t>
      </w:r>
      <w:r>
        <w:rPr>
          <w:rStyle w:val="Style_5_ch"/>
          <w:rFonts w:ascii="XO Thames" w:hAnsi="XO Thames"/>
          <w:sz w:val="28"/>
        </w:rPr>
        <w:t xml:space="preserve">решением Кашинской городской Думы от 12.02.2019 №110, </w:t>
      </w:r>
      <w:r>
        <w:rPr>
          <w:rStyle w:val="Style_5_ch"/>
          <w:rFonts w:ascii="XO Thames" w:hAnsi="XO Thames"/>
          <w:sz w:val="28"/>
        </w:rPr>
        <w:t>Положением о</w:t>
      </w:r>
      <w:r>
        <w:rPr>
          <w:rStyle w:val="Style_5_ch"/>
          <w:rFonts w:ascii="XO Thames" w:hAnsi="XO Thames"/>
          <w:sz w:val="28"/>
        </w:rPr>
        <w:t xml:space="preserve"> Комитете по управлению имуществом Администрации </w:t>
      </w:r>
      <w:r>
        <w:rPr>
          <w:rStyle w:val="Style_5_ch"/>
          <w:rFonts w:ascii="XO Thames" w:hAnsi="XO Thames"/>
          <w:sz w:val="28"/>
        </w:rPr>
        <w:t>Кашинского</w:t>
      </w:r>
      <w:r>
        <w:rPr>
          <w:rStyle w:val="Style_5_ch"/>
          <w:rFonts w:ascii="XO Thames" w:hAnsi="XO Thames"/>
          <w:sz w:val="28"/>
        </w:rPr>
        <w:t xml:space="preserve"> муниципального округа Тверской области, утвержденным решением Кашинской городской Думы  от </w:t>
      </w:r>
      <w:r>
        <w:rPr>
          <w:rFonts w:ascii="XO Thames" w:hAnsi="XO Thames"/>
          <w:sz w:val="28"/>
        </w:rPr>
        <w:t>27.12.2024 №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111, </w:t>
      </w:r>
      <w:r>
        <w:rPr>
          <w:rStyle w:val="Style_5_ch"/>
          <w:rFonts w:ascii="XO Thames" w:hAnsi="XO Thames"/>
          <w:sz w:val="28"/>
        </w:rPr>
        <w:t xml:space="preserve"> </w:t>
      </w:r>
      <w:r>
        <w:t xml:space="preserve"> </w:t>
      </w:r>
    </w:p>
    <w:p w14:paraId="1B000000">
      <w:pPr>
        <w:widowControl w:val="1"/>
        <w:ind w:firstLine="709"/>
        <w:jc w:val="both"/>
      </w:pPr>
    </w:p>
    <w:tbl>
      <w:tblPr>
        <w:tblStyle w:val="Style_4"/>
        <w:tblW w:type="auto" w:w="0"/>
        <w:tblLayout w:type="fixed"/>
      </w:tblPr>
      <w:tblGrid>
        <w:gridCol w:w="200"/>
        <w:gridCol w:w="9238"/>
        <w:gridCol w:w="200"/>
      </w:tblGrid>
      <w:tr>
        <w:tc>
          <w:tcPr>
            <w:tcW w:type="dxa" w:w="200"/>
            <w:shd w:fill="auto" w:val="clear"/>
          </w:tcPr>
          <w:p w14:paraId="1C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238"/>
            <w:shd w:fill="auto" w:val="clear"/>
          </w:tcPr>
          <w:p w14:paraId="1D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E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F00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20000000">
      <w:pPr>
        <w:widowControl w:val="1"/>
        <w:numPr>
          <w:ilvl w:val="0"/>
          <w:numId w:val="1"/>
        </w:numPr>
        <w:ind w:firstLine="709" w:left="0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Утвердить прилагаемый перечень земельных участков, находящихся в муниципальной собственности муниципального образования Кашинский муниципальный округ Тверской области, подлежащих передаче в государственную собственность Тверской области (далее - Перечень)</w:t>
      </w:r>
      <w:r>
        <w:rPr>
          <w:rStyle w:val="Style_5_ch"/>
          <w:rFonts w:ascii="XO Thames" w:hAnsi="XO Thames"/>
          <w:sz w:val="28"/>
        </w:rPr>
        <w:t xml:space="preserve">. </w:t>
      </w:r>
    </w:p>
    <w:p w14:paraId="21000000">
      <w:pPr>
        <w:widowControl w:val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pacing w:val="0"/>
          <w:sz w:val="28"/>
        </w:rPr>
        <w:t>  </w:t>
      </w:r>
      <w:r>
        <w:rPr>
          <w:rFonts w:ascii="XO Thames" w:hAnsi="XO Thames"/>
          <w:sz w:val="28"/>
        </w:rPr>
        <w:t xml:space="preserve">Предложить Министерству имущественных и земельных отношений Тверской области </w:t>
      </w:r>
      <w:r>
        <w:rPr>
          <w:rFonts w:ascii="XO Thames" w:hAnsi="XO Thames"/>
          <w:sz w:val="28"/>
        </w:rPr>
        <w:t xml:space="preserve">рассмотреть </w:t>
      </w:r>
      <w:r>
        <w:rPr>
          <w:rFonts w:ascii="XO Thames" w:hAnsi="XO Thames"/>
          <w:sz w:val="28"/>
        </w:rPr>
        <w:t xml:space="preserve">Перечень </w:t>
      </w:r>
      <w:r>
        <w:rPr>
          <w:rFonts w:ascii="XO Thames" w:hAnsi="XO Thames"/>
          <w:sz w:val="28"/>
        </w:rPr>
        <w:t xml:space="preserve">и принять по нему </w:t>
      </w:r>
      <w:r>
        <w:rPr>
          <w:rFonts w:ascii="XO Thames" w:hAnsi="XO Thames"/>
          <w:sz w:val="28"/>
        </w:rPr>
        <w:t>соответств</w:t>
      </w:r>
      <w:r>
        <w:rPr>
          <w:rFonts w:ascii="XO Thames" w:hAnsi="XO Thames"/>
          <w:sz w:val="28"/>
        </w:rPr>
        <w:t>ующее решение.</w:t>
      </w:r>
    </w:p>
    <w:p w14:paraId="22000000">
      <w:pPr>
        <w:widowControl w:val="1"/>
        <w:ind w:firstLine="709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3.</w:t>
      </w:r>
      <w:r>
        <w:rPr>
          <w:rFonts w:ascii="XO Thames" w:hAnsi="XO Thames"/>
          <w:sz w:val="28"/>
        </w:rPr>
        <w:t xml:space="preserve"> В случае принятия </w:t>
      </w:r>
      <w:r>
        <w:rPr>
          <w:rStyle w:val="Style_5_ch"/>
          <w:rFonts w:ascii="XO Thames" w:hAnsi="XO Thames"/>
          <w:sz w:val="28"/>
        </w:rPr>
        <w:t>Министерством имущественных и земельных отношений Тверской области решения о принятии земельных участков, указанных в Перечне,  в государственную собственность Тверской области, Администрации</w:t>
      </w:r>
      <w:r>
        <w:rPr>
          <w:rFonts w:ascii="XO Thames" w:hAnsi="XO Thames"/>
          <w:sz w:val="28"/>
        </w:rPr>
        <w:t xml:space="preserve"> Кашинского муниципального округа Тверской области</w:t>
      </w:r>
      <w:r>
        <w:rPr>
          <w:rStyle w:val="Style_5_ch"/>
          <w:rFonts w:ascii="XO Thames" w:hAnsi="XO Thames"/>
          <w:sz w:val="28"/>
        </w:rPr>
        <w:t xml:space="preserve"> осуществить действия по передаче земельных участков.</w:t>
      </w:r>
    </w:p>
    <w:p w14:paraId="23000000">
      <w:pPr>
        <w:widowControl w:val="1"/>
        <w:ind w:firstLine="709"/>
        <w:jc w:val="both"/>
        <w:rPr>
          <w:rStyle w:val="Style_5_ch"/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4.</w:t>
      </w:r>
      <w:r>
        <w:rPr>
          <w:rFonts w:ascii="XO Thames" w:hAnsi="XO Thames"/>
          <w:spacing w:val="0"/>
          <w:sz w:val="28"/>
        </w:rPr>
        <w:t>  </w:t>
      </w:r>
      <w:r>
        <w:rPr>
          <w:rStyle w:val="Style_6_ch"/>
          <w:rFonts w:ascii="XO Thames" w:hAnsi="XO Thames"/>
          <w:sz w:val="28"/>
        </w:rPr>
        <w:t>Настоящее решение вступает в силу со дня его подписания</w:t>
      </w:r>
      <w:r>
        <w:rPr>
          <w:rStyle w:val="Style_5_ch"/>
          <w:rFonts w:ascii="XO Thames" w:hAnsi="XO Thames"/>
          <w:sz w:val="28"/>
        </w:rPr>
        <w:t>.</w:t>
      </w:r>
    </w:p>
    <w:p w14:paraId="24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5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6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27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Председатель Думы Кашинского </w:t>
      </w:r>
    </w:p>
    <w:p w14:paraId="28000000">
      <w:pPr>
        <w:widowControl w:val="1"/>
        <w:tabs>
          <w:tab w:leader="none" w:pos="10205" w:val="left"/>
        </w:tabs>
        <w:ind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муниципального округа Тверской области                       </w:t>
      </w:r>
      <w:r>
        <w:rPr>
          <w:rStyle w:val="Style_5_ch"/>
          <w:rFonts w:ascii="XO Thames" w:hAnsi="XO Thames"/>
          <w:sz w:val="28"/>
        </w:rPr>
        <w:t xml:space="preserve">                  И.А. Мурашова</w:t>
      </w:r>
    </w:p>
    <w:p w14:paraId="29000000">
      <w:pPr>
        <w:widowControl w:val="1"/>
        <w:tabs>
          <w:tab w:leader="none" w:pos="10205" w:val="left"/>
        </w:tabs>
        <w:ind/>
        <w:jc w:val="both"/>
        <w:rPr>
          <w:rStyle w:val="Style_5_ch"/>
          <w:rFonts w:ascii="XO Thames" w:hAnsi="XO Thames"/>
          <w:sz w:val="28"/>
        </w:rPr>
      </w:pPr>
    </w:p>
    <w:p w14:paraId="2A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2B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Временно исполняющий полномочия</w:t>
      </w:r>
    </w:p>
    <w:p w14:paraId="2C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Главы Кашинского муниципального округа </w:t>
      </w:r>
    </w:p>
    <w:p w14:paraId="2D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  <w:shd w:fill="F71E04" w:val="clear"/>
        </w:rPr>
      </w:pPr>
      <w:r>
        <w:rPr>
          <w:rFonts w:ascii="XO Thames" w:hAnsi="XO Thames"/>
          <w:sz w:val="28"/>
        </w:rPr>
        <w:t>Тверской области                                                                                А.В.Рагузин</w:t>
      </w:r>
    </w:p>
    <w:p w14:paraId="2E000000">
      <w:pPr>
        <w:widowControl w:val="1"/>
        <w:tabs>
          <w:tab w:leader="none" w:pos="10205" w:val="left"/>
        </w:tabs>
        <w:ind/>
        <w:jc w:val="both"/>
        <w:rPr>
          <w:rFonts w:asciiTheme="minorAscii" w:hAnsiTheme="minorHAnsi"/>
          <w:sz w:val="28"/>
        </w:rPr>
      </w:pPr>
    </w:p>
    <w:p w14:paraId="2F000000">
      <w:pPr>
        <w:sectPr>
          <w:headerReference r:id="rId1" w:type="default"/>
          <w:headerReference r:id="rId2" w:type="first"/>
          <w:pgSz w:h="16848" w:orient="portrait" w:w="11908"/>
          <w:pgMar w:bottom="1134" w:footer="720" w:gutter="0" w:header="720" w:left="1701" w:right="567" w:top="1134"/>
          <w:titlePg/>
        </w:sectPr>
      </w:pPr>
    </w:p>
    <w:p w14:paraId="30000000">
      <w:pPr>
        <w:pStyle w:val="Style_2"/>
        <w:widowControl w:val="1"/>
        <w:ind w:firstLine="0" w:left="1020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</w:t>
      </w:r>
    </w:p>
    <w:p w14:paraId="31000000">
      <w:pPr>
        <w:pStyle w:val="Style_2"/>
        <w:widowControl w:val="1"/>
        <w:ind w:firstLine="0" w:left="1020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решением Думы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</w:t>
      </w:r>
      <w:r>
        <w:rPr>
          <w:rFonts w:ascii="XO Thames" w:hAnsi="XO Thames"/>
          <w:sz w:val="28"/>
        </w:rPr>
        <w:t xml:space="preserve"> </w:t>
      </w:r>
    </w:p>
    <w:p w14:paraId="32000000">
      <w:pPr>
        <w:pStyle w:val="Style_2"/>
        <w:widowControl w:val="1"/>
        <w:ind w:firstLine="0" w:left="1020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</w:t>
      </w:r>
    </w:p>
    <w:p w14:paraId="33000000">
      <w:pPr>
        <w:pStyle w:val="Style_2"/>
        <w:widowControl w:val="1"/>
        <w:ind w:firstLine="0" w:left="1020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 02.12.2025 № 189</w:t>
      </w:r>
    </w:p>
    <w:p w14:paraId="34000000">
      <w:pPr>
        <w:pStyle w:val="Style_2"/>
        <w:widowControl w:val="1"/>
        <w:ind w:firstLine="0" w:left="10205"/>
        <w:rPr>
          <w:rFonts w:ascii="XO Thames" w:hAnsi="XO Thames"/>
          <w:sz w:val="28"/>
        </w:rPr>
      </w:pPr>
    </w:p>
    <w:p w14:paraId="35000000">
      <w:pPr>
        <w:pStyle w:val="Style_2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</w:t>
      </w:r>
    </w:p>
    <w:p w14:paraId="36000000">
      <w:pPr>
        <w:pStyle w:val="Style_2"/>
        <w:widowControl w:val="1"/>
        <w:ind w:firstLine="0" w:left="-28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r>
        <w:rPr>
          <w:rFonts w:ascii="XO Thames" w:hAnsi="XO Thames"/>
          <w:sz w:val="28"/>
        </w:rPr>
        <w:t xml:space="preserve">     </w:t>
      </w:r>
      <w:r>
        <w:rPr>
          <w:rStyle w:val="Style_2_ch"/>
          <w:rFonts w:ascii="XO Thames" w:hAnsi="XO Thames"/>
          <w:sz w:val="28"/>
        </w:rPr>
        <w:t xml:space="preserve">  </w:t>
      </w:r>
      <w:r>
        <w:rPr>
          <w:rStyle w:val="Style_2_ch"/>
          <w:rFonts w:ascii="XO Thames" w:hAnsi="XO Thames"/>
          <w:sz w:val="28"/>
        </w:rPr>
        <w:t xml:space="preserve">земельных участков, находящихся в муниципальной собственности муниципального образования Кашинский муниципальный округ Тверской области, </w:t>
      </w:r>
      <w:r>
        <w:rPr>
          <w:rStyle w:val="Style_5_ch"/>
          <w:rFonts w:ascii="XO Thames" w:hAnsi="XO Thames"/>
          <w:sz w:val="28"/>
        </w:rPr>
        <w:t>подлежащих</w:t>
      </w:r>
      <w:r>
        <w:rPr>
          <w:rStyle w:val="Style_2_ch"/>
          <w:rFonts w:ascii="XO Thames" w:hAnsi="XO Thames"/>
          <w:sz w:val="28"/>
        </w:rPr>
        <w:t xml:space="preserve"> передачи в государственную собственность Тверской области </w:t>
      </w:r>
    </w:p>
    <w:p w14:paraId="37000000">
      <w:pPr>
        <w:pStyle w:val="Style_2"/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tblInd w:type="dxa" w:w="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9"/>
        <w:gridCol w:w="1905"/>
        <w:gridCol w:w="1625"/>
        <w:gridCol w:w="2280"/>
        <w:gridCol w:w="3210"/>
        <w:gridCol w:w="4575"/>
      </w:tblGrid>
      <w:tr>
        <w:trPr>
          <w:trHeight w:hRule="atLeast" w:val="852"/>
          <w:tblHeader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№ </w:t>
            </w:r>
          </w:p>
          <w:p w14:paraId="39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>/</w:t>
            </w:r>
            <w:r>
              <w:rPr>
                <w:rFonts w:ascii="XO Thames" w:hAnsi="XO Thames"/>
                <w:sz w:val="24"/>
              </w:rPr>
              <w:t>п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Полное наименование организации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нахождения организации, ИНН организации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имущества</w:t>
            </w:r>
          </w:p>
        </w:tc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</w:t>
            </w:r>
          </w:p>
          <w:p w14:paraId="3E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местонахождения</w:t>
            </w:r>
          </w:p>
          <w:p w14:paraId="3F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имущества</w:t>
            </w:r>
          </w:p>
        </w:tc>
        <w:tc>
          <w:tcPr>
            <w:tcW w:type="dxa" w:w="4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Индивидуализирующие</w:t>
            </w:r>
          </w:p>
          <w:p w14:paraId="41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характеристики имущества</w:t>
            </w:r>
          </w:p>
        </w:tc>
      </w:tr>
      <w:tr>
        <w:trPr>
          <w:trHeight w:hRule="atLeast" w:val="795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rPr>
                <w:rFonts w:ascii="XO Thames" w:hAnsi="XO Thames"/>
                <w:sz w:val="24"/>
              </w:rPr>
            </w:pPr>
          </w:p>
          <w:p w14:paraId="43000000">
            <w:pPr>
              <w:pStyle w:val="Style_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1.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Земельный участок</w:t>
            </w:r>
          </w:p>
        </w:tc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</w:p>
          <w:p w14:paraId="48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Российская Федерация, </w:t>
            </w:r>
          </w:p>
          <w:p w14:paraId="49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Тверская область, муниципальный округ Кашинский, деревня Данильцево, земельный участок 25а</w:t>
            </w:r>
          </w:p>
        </w:tc>
        <w:tc>
          <w:tcPr>
            <w:tcW w:type="dxa" w:w="4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Кадастровый номер: 69:12:0070801:278</w:t>
            </w:r>
          </w:p>
          <w:p w14:paraId="4B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Площадь: 800</w:t>
            </w:r>
            <w:r>
              <w:rPr>
                <w:rFonts w:ascii="XO Thames" w:hAnsi="XO Thames"/>
                <w:sz w:val="24"/>
              </w:rPr>
              <w:t xml:space="preserve"> м</w:t>
            </w:r>
            <w:r>
              <w:rPr>
                <w:rFonts w:ascii="XO Thames" w:hAnsi="XO Thames"/>
                <w:sz w:val="24"/>
                <w:vertAlign w:val="superscript"/>
              </w:rPr>
              <w:t>2</w:t>
            </w:r>
          </w:p>
          <w:p w14:paraId="4C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Категория земель: земли населенных пунктов</w:t>
            </w:r>
          </w:p>
          <w:p w14:paraId="4D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разрешенного использования: </w:t>
            </w:r>
            <w:r>
              <w:rPr>
                <w:rStyle w:val="Style_2_ch"/>
                <w:rFonts w:ascii="XO Thames" w:hAnsi="XO Thames"/>
                <w:sz w:val="24"/>
              </w:rPr>
              <w:t>Амбулаторно-поликлиническое обслуживание</w:t>
            </w:r>
          </w:p>
          <w:p w14:paraId="4E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Кадастровая стоимость: 503680,00 руб.</w:t>
            </w:r>
          </w:p>
        </w:tc>
      </w:tr>
      <w:tr>
        <w:trPr>
          <w:trHeight w:hRule="atLeast" w:val="795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2.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2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Земельный участок</w:t>
            </w:r>
          </w:p>
          <w:p w14:paraId="53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Российская Федерация, </w:t>
            </w:r>
          </w:p>
          <w:p w14:paraId="55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Тверская область, муниципальный округ Кашинский, деревня Щекотово, земельный участок 60а</w:t>
            </w:r>
          </w:p>
        </w:tc>
        <w:tc>
          <w:tcPr>
            <w:tcW w:type="dxa" w:w="4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Кадастровый номер: 69:12:0261301:303</w:t>
            </w:r>
          </w:p>
          <w:p w14:paraId="57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Площадь: 800</w:t>
            </w:r>
            <w:r>
              <w:rPr>
                <w:rFonts w:ascii="XO Thames" w:hAnsi="XO Thames"/>
                <w:sz w:val="24"/>
              </w:rPr>
              <w:t xml:space="preserve"> м</w:t>
            </w:r>
            <w:r>
              <w:rPr>
                <w:rFonts w:ascii="XO Thames" w:hAnsi="XO Thames"/>
                <w:sz w:val="24"/>
                <w:vertAlign w:val="superscript"/>
              </w:rPr>
              <w:t>2</w:t>
            </w:r>
          </w:p>
          <w:p w14:paraId="58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Категория земель: земли населенных пунктов</w:t>
            </w:r>
          </w:p>
          <w:p w14:paraId="59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разрешенного использования:</w:t>
            </w:r>
            <w:r>
              <w:rPr>
                <w:rStyle w:val="Style_2_ch"/>
                <w:rFonts w:ascii="XO Thames" w:hAnsi="XO Thames"/>
                <w:sz w:val="24"/>
              </w:rPr>
              <w:t xml:space="preserve"> </w:t>
            </w:r>
            <w:r>
              <w:rPr>
                <w:rStyle w:val="Style_2_ch"/>
                <w:rFonts w:ascii="XO Thames" w:hAnsi="XO Thames"/>
                <w:sz w:val="24"/>
              </w:rPr>
              <w:t>Амбулаторно-поликлиническое обслу</w:t>
            </w:r>
            <w:r>
              <w:rPr>
                <w:rStyle w:val="Style_2_ch"/>
                <w:rFonts w:ascii="XO Thames" w:hAnsi="XO Thames"/>
                <w:sz w:val="24"/>
              </w:rPr>
              <w:t>живан</w:t>
            </w:r>
            <w:r>
              <w:rPr>
                <w:rStyle w:val="Style_2_ch"/>
                <w:rFonts w:ascii="XO Thames" w:hAnsi="XO Thames"/>
                <w:sz w:val="24"/>
              </w:rPr>
              <w:t>ие</w:t>
            </w:r>
          </w:p>
          <w:p w14:paraId="5A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Кадастровая стоимость:</w:t>
            </w:r>
            <w:r>
              <w:rPr>
                <w:rFonts w:ascii="XO Thames" w:hAnsi="XO Thames"/>
                <w:sz w:val="24"/>
              </w:rPr>
              <w:t>490016,00 руб.</w:t>
            </w:r>
          </w:p>
        </w:tc>
      </w:tr>
    </w:tbl>
    <w:p w14:paraId="5B000000">
      <w:pPr>
        <w:pStyle w:val="Style_2"/>
        <w:rPr>
          <w:rFonts w:ascii="XO Thames" w:hAnsi="XO Thames"/>
          <w:sz w:val="28"/>
        </w:rPr>
      </w:pPr>
    </w:p>
    <w:p w14:paraId="5C000000">
      <w:pPr>
        <w:pStyle w:val="Style_2"/>
        <w:rPr>
          <w:rFonts w:ascii="XO Thames" w:hAnsi="XO Thames"/>
          <w:sz w:val="28"/>
        </w:rPr>
      </w:pPr>
    </w:p>
    <w:sectPr>
      <w:headerReference r:id="rId3" w:type="default"/>
      <w:headerReference r:id="rId4" w:type="first"/>
      <w:type w:val="nextPage"/>
      <w:pgSz w:h="11908" w:orient="landscape" w:w="16848"/>
      <w:pgMar w:bottom="853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</w:pPr>
    <w:r>
      <w:rPr>
        <w:rFonts w:ascii="Tms Rmn" w:hAnsi="Tms Rm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FFFFFF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8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widowControl w:val="1"/>
      <w:ind/>
      <w:jc w:val="center"/>
    </w:pPr>
    <w:r>
      <w:rPr>
        <w:rFonts w:ascii="Tms Rmn" w:hAnsi="Tms Rm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FFFFFF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7" w:type="paragraph">
    <w:name w:val="toc 2"/>
    <w:next w:val="Style_2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Normal"/>
    <w:link w:val="Style_15_ch"/>
    <w:rPr>
      <w:sz w:val="28"/>
    </w:rPr>
  </w:style>
  <w:style w:styleId="Style_15_ch" w:type="character">
    <w:name w:val="ConsPlusNormal"/>
    <w:link w:val="Style_15"/>
    <w:rPr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Гиперссылка4"/>
    <w:link w:val="Style_17_ch"/>
    <w:rPr>
      <w:color w:val="0000FF"/>
      <w:u w:val="single"/>
    </w:rPr>
  </w:style>
  <w:style w:styleId="Style_17_ch" w:type="character">
    <w:name w:val="Гиперссылка4"/>
    <w:link w:val="Style_17"/>
    <w:rPr>
      <w:color w:val="0000FF"/>
      <w:u w:val="single"/>
    </w:rPr>
  </w:style>
  <w:style w:styleId="Style_18" w:type="paragraph">
    <w:name w:val="Balloon Text"/>
    <w:basedOn w:val="Style_2"/>
    <w:link w:val="Style_18_ch"/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Гиперссылка2"/>
    <w:link w:val="Style_20_ch"/>
    <w:rPr>
      <w:color w:val="0000FF"/>
      <w:u w:val="single"/>
    </w:rPr>
  </w:style>
  <w:style w:styleId="Style_20_ch" w:type="character">
    <w:name w:val="Гиперссылка2"/>
    <w:link w:val="Style_20"/>
    <w:rPr>
      <w:color w:val="0000FF"/>
      <w:u w:val="single"/>
    </w:rPr>
  </w:style>
  <w:style w:styleId="Style_21" w:type="paragraph">
    <w:name w:val="footer"/>
    <w:basedOn w:val="Style_2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22" w:type="paragraph">
    <w:name w:val="toc 3"/>
    <w:next w:val="Style_2"/>
    <w:link w:val="Style_22_ch"/>
    <w:uiPriority w:val="39"/>
    <w:pPr>
      <w:widowControl w:val="1"/>
      <w:ind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Default"/>
    <w:link w:val="Style_23_ch"/>
    <w:rPr>
      <w:sz w:val="24"/>
    </w:rPr>
  </w:style>
  <w:style w:styleId="Style_23_ch" w:type="character">
    <w:name w:val="Default"/>
    <w:link w:val="Style_23"/>
    <w:rPr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heading 5"/>
    <w:next w:val="Style_2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List Paragraph"/>
    <w:basedOn w:val="Style_2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7" w:type="paragraph">
    <w:name w:val="heading 1"/>
    <w:basedOn w:val="Style_2"/>
    <w:next w:val="Style_2"/>
    <w:link w:val="Style_27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7_ch" w:type="character">
    <w:name w:val="heading 1"/>
    <w:basedOn w:val="Style_2_ch"/>
    <w:link w:val="Style_27"/>
    <w:rPr>
      <w:rFonts w:ascii="Arial" w:hAnsi="Arial"/>
      <w:b w:val="1"/>
      <w:sz w:val="30"/>
    </w:rPr>
  </w:style>
  <w:style w:styleId="Style_5" w:type="paragraph">
    <w:name w:val="Обычный1"/>
    <w:link w:val="Style_5_ch"/>
    <w:rPr>
      <w:rFonts w:ascii="Tms Rmn" w:hAnsi="Tms Rmn"/>
    </w:rPr>
  </w:style>
  <w:style w:styleId="Style_5_ch" w:type="character">
    <w:name w:val="Обычный1"/>
    <w:link w:val="Style_5"/>
    <w:rPr>
      <w:rFonts w:ascii="Tms Rmn" w:hAnsi="Tms Rmn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1"/>
      <w:ind w:firstLine="851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2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Гиперссылка3"/>
    <w:link w:val="Style_31_ch"/>
    <w:rPr>
      <w:color w:val="0000FF"/>
      <w:u w:val="single"/>
    </w:rPr>
  </w:style>
  <w:style w:styleId="Style_31_ch" w:type="character">
    <w:name w:val="Гиперссылка3"/>
    <w:link w:val="Style_31"/>
    <w:rPr>
      <w:color w:val="0000FF"/>
      <w:u w:val="single"/>
    </w:rPr>
  </w:style>
  <w:style w:styleId="Style_3" w:type="paragraph">
    <w:name w:val="Header and Footer"/>
    <w:link w:val="Style_3_ch"/>
    <w:pPr>
      <w:widowControl w:val="1"/>
      <w:ind/>
      <w:jc w:val="both"/>
    </w:pPr>
    <w:rPr>
      <w:rFonts w:ascii="XO Thames" w:hAnsi="XO Thames"/>
      <w:sz w:val="28"/>
    </w:rPr>
  </w:style>
  <w:style w:styleId="Style_3_ch" w:type="character">
    <w:name w:val="Header and Footer"/>
    <w:link w:val="Style_3"/>
    <w:rPr>
      <w:rFonts w:ascii="XO Thames" w:hAnsi="XO Thames"/>
      <w:sz w:val="28"/>
    </w:rPr>
  </w:style>
  <w:style w:styleId="Style_32" w:type="paragraph">
    <w:name w:val="toc 9"/>
    <w:next w:val="Style_2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6" w:type="paragraph">
    <w:name w:val="Обычный1"/>
    <w:link w:val="Style_6_ch"/>
    <w:rPr>
      <w:rFonts w:ascii="Tms Rmn" w:hAnsi="Tms Rmn"/>
    </w:rPr>
  </w:style>
  <w:style w:styleId="Style_6_ch" w:type="character">
    <w:name w:val="Обычный1"/>
    <w:link w:val="Style_6"/>
    <w:rPr>
      <w:rFonts w:ascii="Tms Rmn" w:hAnsi="Tms Rmn"/>
    </w:rPr>
  </w:style>
  <w:style w:styleId="Style_33" w:type="paragraph">
    <w:name w:val="toc 8"/>
    <w:next w:val="Style_2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Обычный1"/>
    <w:link w:val="Style_35_ch"/>
    <w:rPr>
      <w:rFonts w:ascii="Tms Rmn" w:hAnsi="Tms Rmn"/>
    </w:rPr>
  </w:style>
  <w:style w:styleId="Style_35_ch" w:type="character">
    <w:name w:val="Обычный1"/>
    <w:link w:val="Style_35"/>
    <w:rPr>
      <w:rFonts w:ascii="Tms Rmn" w:hAnsi="Tms Rmn"/>
    </w:rPr>
  </w:style>
  <w:style w:styleId="Style_36" w:type="paragraph">
    <w:name w:val="toc 5"/>
    <w:next w:val="Style_2"/>
    <w:link w:val="Style_36_ch"/>
    <w:uiPriority w:val="39"/>
    <w:pPr>
      <w:widowControl w:val="1"/>
      <w:ind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next w:val="Style_2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2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2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Обычный1"/>
    <w:link w:val="Style_41_ch"/>
    <w:rPr>
      <w:rFonts w:ascii="Tms Rmn" w:hAnsi="Tms Rmn"/>
    </w:rPr>
  </w:style>
  <w:style w:styleId="Style_41_ch" w:type="character">
    <w:name w:val="Обычный1"/>
    <w:link w:val="Style_41"/>
    <w:rPr>
      <w:rFonts w:ascii="Tms Rmn" w:hAnsi="Tms Rmn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2025-12-02T11:22:40Z</dcterms:created>
  <dcterms:modified xsi:type="dcterms:W3CDTF">2025-12-03T11:19:28Z</dcterms:modified>
</cp:coreProperties>
</file>