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Layout w:type="fixed"/>
      </w:tblPr>
      <w:tblGrid>
        <w:gridCol w:w="567"/>
        <w:gridCol w:w="1984"/>
        <w:gridCol w:w="4537"/>
        <w:gridCol w:w="567"/>
        <w:gridCol w:w="1984"/>
      </w:tblGrid>
      <w:tr>
        <w:trPr>
          <w:trHeight w:hRule="atLeast" w:val="2835"/>
        </w:trPr>
        <w:tc>
          <w:tcPr>
            <w:tcW w:type="dxa" w:w="9639"/>
            <w:gridSpan w:val="5"/>
          </w:tcPr>
          <w:p w14:paraId="03000000">
            <w:pPr>
              <w:widowControl w:val="1"/>
              <w:spacing w:after="0" w:line="288" w:lineRule="auto"/>
              <w:ind/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drawing>
                <wp:inline>
                  <wp:extent cx="571500" cy="7239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71500" cy="723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4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b w:val="1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color w:val="000000"/>
                <w:sz w:val="28"/>
              </w:rPr>
              <w:t xml:space="preserve">ДУМА КАШИНСКОГО МУНИЦИПАЛЬНОГО ОКРУГА </w:t>
            </w:r>
            <w:r>
              <w:rPr>
                <w:rFonts w:ascii="XO Thames" w:hAnsi="XO Thames"/>
                <w:b w:val="1"/>
                <w:color w:val="000000"/>
                <w:sz w:val="28"/>
              </w:rPr>
              <w:br/>
            </w:r>
            <w:r>
              <w:rPr>
                <w:rFonts w:ascii="XO Thames" w:hAnsi="XO Thames"/>
                <w:b w:val="1"/>
                <w:color w:val="000000"/>
                <w:sz w:val="28"/>
              </w:rPr>
              <w:t>ТВЕРСКОЙ ОБЛАСТИ</w:t>
            </w:r>
          </w:p>
          <w:p w14:paraId="05000000">
            <w:pPr>
              <w:widowControl w:val="1"/>
              <w:spacing w:after="0" w:before="300" w:line="240" w:lineRule="auto"/>
              <w:ind/>
              <w:jc w:val="center"/>
              <w:rPr>
                <w:rFonts w:ascii="XO Thames" w:hAnsi="XO Thames"/>
                <w:color w:val="000000"/>
                <w:spacing w:val="60"/>
                <w:sz w:val="28"/>
              </w:rPr>
            </w:pPr>
            <w:r>
              <w:rPr>
                <w:rFonts w:ascii="XO Thames" w:hAnsi="XO Thames"/>
                <w:b w:val="1"/>
                <w:color w:val="000000"/>
                <w:spacing w:val="60"/>
                <w:sz w:val="28"/>
              </w:rPr>
              <w:t>РЕШЕНИЕ</w:t>
            </w:r>
          </w:p>
        </w:tc>
      </w:tr>
      <w:tr>
        <w:trPr>
          <w:trHeight w:hRule="atLeast" w:val="60"/>
        </w:trPr>
        <w:tc>
          <w:tcPr>
            <w:tcW w:type="dxa" w:w="567"/>
          </w:tcPr>
          <w:p w14:paraId="06000000">
            <w:pPr>
              <w:widowControl w:val="1"/>
              <w:spacing w:after="0" w:line="240" w:lineRule="auto"/>
              <w:ind w:left="-110"/>
              <w:contextualSpacing w:val="1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от</w:t>
            </w:r>
          </w:p>
        </w:tc>
        <w:tc>
          <w:tcPr>
            <w:tcW w:type="dxa" w:w="1984"/>
            <w:tcBorders>
              <w:bottom w:color="000000" w:sz="4" w:val="single"/>
            </w:tcBorders>
          </w:tcPr>
          <w:p w14:paraId="07000000">
            <w:pPr>
              <w:widowControl w:val="1"/>
              <w:spacing w:after="0" w:line="240" w:lineRule="auto"/>
              <w:ind/>
              <w:contextualSpacing w:val="1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30.09.2025</w:t>
            </w:r>
          </w:p>
        </w:tc>
        <w:tc>
          <w:tcPr>
            <w:tcW w:type="dxa" w:w="4537"/>
          </w:tcPr>
          <w:p w14:paraId="08000000">
            <w:pPr>
              <w:widowControl w:val="1"/>
              <w:spacing w:after="0" w:line="240" w:lineRule="auto"/>
              <w:ind w:left="884" w:right="1029"/>
              <w:contextualSpacing w:val="1"/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г. Кашин</w:t>
            </w:r>
          </w:p>
        </w:tc>
        <w:tc>
          <w:tcPr>
            <w:tcW w:type="dxa" w:w="567"/>
          </w:tcPr>
          <w:p w14:paraId="09000000">
            <w:pPr>
              <w:widowControl w:val="1"/>
              <w:spacing w:after="0" w:line="240" w:lineRule="auto"/>
              <w:ind w:right="1479"/>
              <w:contextualSpacing w:val="1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№</w:t>
            </w:r>
          </w:p>
        </w:tc>
        <w:tc>
          <w:tcPr>
            <w:tcW w:type="dxa" w:w="1984"/>
            <w:tcBorders>
              <w:bottom w:color="000000" w:sz="4" w:val="single"/>
            </w:tcBorders>
          </w:tcPr>
          <w:p w14:paraId="0A000000">
            <w:pPr>
              <w:widowControl w:val="1"/>
              <w:spacing w:after="0" w:line="240" w:lineRule="auto"/>
              <w:ind/>
              <w:contextualSpacing w:val="1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170</w:t>
            </w:r>
          </w:p>
        </w:tc>
      </w:tr>
    </w:tbl>
    <w:p w14:paraId="0B000000">
      <w:pPr>
        <w:widowControl w:val="0"/>
        <w:spacing w:after="0" w:line="240" w:lineRule="auto"/>
        <w:ind w:right="1"/>
        <w:rPr>
          <w:rFonts w:ascii="XO Thames" w:hAnsi="XO Thames"/>
          <w:sz w:val="26"/>
        </w:rPr>
      </w:pPr>
    </w:p>
    <w:p w14:paraId="0C000000">
      <w:pPr>
        <w:widowControl w:val="0"/>
        <w:spacing w:after="0" w:line="240" w:lineRule="auto"/>
        <w:ind w:right="5104"/>
        <w:rPr>
          <w:rFonts w:ascii="XO Thames" w:hAnsi="XO Thames"/>
          <w:sz w:val="24"/>
        </w:rPr>
      </w:pPr>
      <w:bookmarkStart w:id="1" w:name="OLE_LINK6"/>
      <w:bookmarkStart w:id="2" w:name="OLE_LINK7"/>
      <w:bookmarkStart w:id="3" w:name="OLE_LINK8"/>
      <w:bookmarkStart w:id="4" w:name="OLE_LINK11"/>
      <w:bookmarkStart w:id="5" w:name="OLE_LINK12"/>
      <w:bookmarkStart w:id="6" w:name="_Hlk207792969"/>
      <w:r>
        <w:rPr>
          <w:rFonts w:ascii="XO Thames" w:hAnsi="XO Thames"/>
          <w:sz w:val="24"/>
        </w:rPr>
        <w:t>О</w:t>
      </w:r>
      <w:r>
        <w:rPr>
          <w:rFonts w:ascii="XO Thames" w:hAnsi="XO Thames"/>
          <w:sz w:val="24"/>
        </w:rPr>
        <w:t xml:space="preserve"> внесении изменения </w:t>
      </w:r>
      <w:bookmarkStart w:id="7" w:name="_Hlk207792562"/>
      <w:r>
        <w:rPr>
          <w:rFonts w:ascii="XO Thames" w:hAnsi="XO Thames"/>
          <w:sz w:val="24"/>
        </w:rPr>
        <w:t>в решение Думы Кашинского муниципального округа Тверской области от 25.02.2025 № 133 «Об</w:t>
      </w:r>
      <w:r>
        <w:rPr>
          <w:rFonts w:ascii="XO Thames" w:hAnsi="XO Thames"/>
          <w:sz w:val="24"/>
        </w:rPr>
        <w:t> </w:t>
      </w:r>
      <w:r>
        <w:rPr>
          <w:rFonts w:ascii="XO Thames" w:hAnsi="XO Thames"/>
          <w:sz w:val="24"/>
        </w:rPr>
        <w:t>установлении нормы предоставления площади жилого помещения по договору</w:t>
      </w:r>
    </w:p>
    <w:p w14:paraId="0D000000">
      <w:pPr>
        <w:widowControl w:val="0"/>
        <w:spacing w:after="0" w:line="240" w:lineRule="auto"/>
        <w:ind w:right="5104"/>
        <w:rPr>
          <w:rFonts w:ascii="XO Thames" w:hAnsi="XO Thames"/>
          <w:sz w:val="28"/>
        </w:rPr>
      </w:pPr>
      <w:r>
        <w:rPr>
          <w:rFonts w:ascii="XO Thames" w:hAnsi="XO Thames"/>
          <w:sz w:val="24"/>
        </w:rPr>
        <w:t>социального найма и учетной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4"/>
        </w:rPr>
        <w:t>нормы площади жилого помещения</w:t>
      </w:r>
      <w:bookmarkEnd w:id="1"/>
      <w:bookmarkEnd w:id="2"/>
      <w:bookmarkEnd w:id="3"/>
      <w:r>
        <w:rPr>
          <w:rFonts w:ascii="XO Thames" w:hAnsi="XO Thames"/>
          <w:sz w:val="24"/>
        </w:rPr>
        <w:t>»</w:t>
      </w:r>
      <w:r>
        <w:rPr>
          <w:rFonts w:ascii="XO Thames" w:hAnsi="XO Thames"/>
          <w:sz w:val="28"/>
        </w:rPr>
        <w:t xml:space="preserve"> </w:t>
      </w:r>
      <w:bookmarkEnd w:id="4"/>
      <w:bookmarkEnd w:id="5"/>
      <w:bookmarkEnd w:id="6"/>
      <w:bookmarkEnd w:id="7"/>
    </w:p>
    <w:p w14:paraId="0E000000">
      <w:pPr>
        <w:widowControl w:val="0"/>
        <w:spacing w:after="0" w:line="240" w:lineRule="auto"/>
        <w:ind w:right="1"/>
        <w:rPr>
          <w:rFonts w:ascii="XO Thames" w:hAnsi="XO Thames"/>
          <w:sz w:val="28"/>
        </w:rPr>
      </w:pPr>
    </w:p>
    <w:p w14:paraId="0F000000">
      <w:pPr>
        <w:widowControl w:val="0"/>
        <w:spacing w:after="0" w:line="240" w:lineRule="auto"/>
        <w:ind w:right="1"/>
        <w:rPr>
          <w:rFonts w:ascii="XO Thames" w:hAnsi="XO Thames"/>
          <w:sz w:val="28"/>
        </w:rPr>
      </w:pPr>
    </w:p>
    <w:p w14:paraId="10000000">
      <w:pPr>
        <w:widowControl w:val="0"/>
        <w:spacing w:after="0" w:line="240" w:lineRule="auto"/>
        <w:ind w:right="1"/>
        <w:rPr>
          <w:rFonts w:ascii="XO Thames" w:hAnsi="XO Thames"/>
          <w:sz w:val="28"/>
        </w:rPr>
      </w:pPr>
    </w:p>
    <w:p w14:paraId="11000000">
      <w:pPr>
        <w:widowControl w:val="1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целях реализации полномочий органов местного самоуправления в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области жилищных отношений, в соответствии с Жилищным кодексом Российской Федерации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Федеральным законом от 20.03.2025 № 33-ФЗ «Об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общих принципах организации местного самоуправления в единой системе публичной власти», </w:t>
      </w:r>
      <w:r>
        <w:rPr>
          <w:rFonts w:ascii="XO Thames" w:hAnsi="XO Thames"/>
          <w:sz w:val="28"/>
        </w:rPr>
        <w:t>Уставом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Кашинского муниципального округа 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 xml:space="preserve">Тверской области, </w:t>
      </w:r>
    </w:p>
    <w:p w14:paraId="12000000">
      <w:pPr>
        <w:widowControl w:val="0"/>
        <w:spacing w:after="0" w:line="240" w:lineRule="auto"/>
        <w:ind w:right="101"/>
        <w:rPr>
          <w:rFonts w:ascii="XO Thames" w:hAnsi="XO Thames"/>
          <w:sz w:val="28"/>
        </w:rPr>
      </w:pPr>
    </w:p>
    <w:p w14:paraId="13000000">
      <w:pPr>
        <w:pStyle w:val="Style_3"/>
        <w:widowControl w:val="1"/>
        <w:ind/>
        <w:jc w:val="center"/>
      </w:pPr>
      <w:r>
        <w:rPr>
          <w:b w:val="1"/>
          <w:caps w:val="1"/>
        </w:rPr>
        <w:t>Дума Кашинского муниципального округа</w:t>
      </w:r>
    </w:p>
    <w:p w14:paraId="14000000">
      <w:pPr>
        <w:pStyle w:val="Style_3"/>
        <w:widowControl w:val="1"/>
        <w:ind/>
        <w:jc w:val="center"/>
      </w:pPr>
      <w:r>
        <w:rPr>
          <w:b w:val="1"/>
          <w:caps w:val="1"/>
        </w:rPr>
        <w:t>ТВЕРСКОЙ ОБЛАСТИ</w:t>
      </w:r>
      <w:r>
        <w:rPr>
          <w:b w:val="1"/>
        </w:rPr>
        <w:t xml:space="preserve"> РЕШИЛА: </w:t>
      </w:r>
    </w:p>
    <w:p w14:paraId="1500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16000000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1. </w:t>
      </w:r>
      <w:r>
        <w:rPr>
          <w:rFonts w:ascii="XO Thames" w:hAnsi="XO Thames"/>
          <w:sz w:val="28"/>
        </w:rPr>
        <w:t>Внести в подпункт 1.1 пункта 1 решения Думы Кашинского муниципального округа Тверской области от 25.02.2025 № 133 «Об установлении нормы предоставления площади жилого помещения по договору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социального найма и учетной нормы площади жилого помещения»</w:t>
      </w:r>
      <w:r>
        <w:rPr>
          <w:rFonts w:ascii="XO Thames" w:hAnsi="XO Thames"/>
          <w:sz w:val="28"/>
        </w:rPr>
        <w:t xml:space="preserve"> изменение,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изложив его в следующей редакции:</w:t>
      </w:r>
    </w:p>
    <w:p w14:paraId="17000000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1.1. норму предоставления площади жилого помещения по договору социального найма:</w:t>
      </w:r>
    </w:p>
    <w:p w14:paraId="18000000">
      <w:pPr>
        <w:widowControl w:val="1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15 м</w:t>
      </w:r>
      <w:r>
        <w:rPr>
          <w:rFonts w:ascii="XO Thames" w:hAnsi="XO Thames"/>
          <w:sz w:val="28"/>
          <w:vertAlign w:val="superscript"/>
        </w:rPr>
        <w:t>2</w:t>
      </w:r>
      <w:r>
        <w:rPr>
          <w:rFonts w:ascii="XO Thames" w:hAnsi="XO Thames"/>
          <w:sz w:val="28"/>
        </w:rPr>
        <w:t xml:space="preserve"> общей площади жилого помещения на одиноко проживающего гражданина;</w:t>
      </w:r>
    </w:p>
    <w:p w14:paraId="19000000">
      <w:pPr>
        <w:widowControl w:val="1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30 м</w:t>
      </w:r>
      <w:r>
        <w:rPr>
          <w:rFonts w:ascii="XO Thames" w:hAnsi="XO Thames"/>
          <w:sz w:val="28"/>
          <w:vertAlign w:val="superscript"/>
        </w:rPr>
        <w:t>2</w:t>
      </w:r>
      <w:r>
        <w:rPr>
          <w:rFonts w:ascii="XO Thames" w:hAnsi="XO Thames"/>
          <w:sz w:val="28"/>
        </w:rPr>
        <w:t xml:space="preserve"> общей площади жилого помещения на семью, состоящую из двух человек;</w:t>
      </w:r>
    </w:p>
    <w:p w14:paraId="1A000000">
      <w:pPr>
        <w:pStyle w:val="Style_4"/>
        <w:widowControl w:val="1"/>
        <w:spacing w:after="0"/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12 </w:t>
      </w:r>
      <w:bookmarkStart w:id="8" w:name="_Hlk206768837"/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  <w:vertAlign w:val="superscript"/>
        </w:rPr>
        <w:t>2</w:t>
      </w:r>
      <w:r>
        <w:rPr>
          <w:rFonts w:ascii="XO Thames" w:hAnsi="XO Thames"/>
          <w:sz w:val="28"/>
        </w:rPr>
        <w:t xml:space="preserve"> </w:t>
      </w:r>
      <w:bookmarkEnd w:id="8"/>
      <w:r>
        <w:rPr>
          <w:rFonts w:ascii="XO Thames" w:hAnsi="XO Thames"/>
          <w:sz w:val="28"/>
        </w:rPr>
        <w:t>общей площади жилого помещения на семью, состоящую из трех и более человек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на каждого</w:t>
      </w:r>
      <w:r>
        <w:rPr>
          <w:rFonts w:ascii="XO Thames" w:hAnsi="XO Thames"/>
          <w:sz w:val="28"/>
        </w:rPr>
        <w:t xml:space="preserve"> человека</w:t>
      </w:r>
      <w:r>
        <w:rPr>
          <w:rFonts w:ascii="XO Thames" w:hAnsi="XO Thames"/>
          <w:sz w:val="28"/>
        </w:rPr>
        <w:t>;</w:t>
      </w:r>
    </w:p>
    <w:p w14:paraId="1B000000">
      <w:pPr>
        <w:widowControl w:val="0"/>
        <w:tabs>
          <w:tab w:leader="none" w:pos="10205" w:val="left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15 м</w:t>
      </w:r>
      <w:r>
        <w:rPr>
          <w:rFonts w:ascii="XO Thames" w:hAnsi="XO Thames"/>
          <w:sz w:val="28"/>
          <w:vertAlign w:val="superscript"/>
        </w:rPr>
        <w:t>2</w:t>
      </w:r>
      <w:r>
        <w:rPr>
          <w:rFonts w:ascii="XO Thames" w:hAnsi="XO Thames"/>
          <w:sz w:val="28"/>
        </w:rPr>
        <w:t xml:space="preserve"> общей площади жилого помещения на многодетную семью, определяемую в соответствии с пунктом 3 Порядка предоставления и </w:t>
      </w:r>
      <w:r>
        <w:rPr>
          <w:rFonts w:ascii="XO Thames" w:hAnsi="XO Thames"/>
          <w:sz w:val="28"/>
        </w:rPr>
        <w:t xml:space="preserve">распределения субсидий из областного бюджета Тверской области местным бюджетам на реализацию муниципальных программ, направленных на обеспечение жилыми помещениями многодетных семей, нуждающихся в жилых помещениях, являющегося приложением 3 к государственной программе Тверской области «Развитие демографической и семейной политики Тверской области», утвержденной постановлением Правительства Тверской области от 15.02.2024 № 51-пп, на каждого члена указанной семьи;». </w:t>
      </w:r>
    </w:p>
    <w:p w14:paraId="1C000000">
      <w:pPr>
        <w:widowControl w:val="0"/>
        <w:tabs>
          <w:tab w:leader="none" w:pos="10205" w:val="left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. Настоящее решение вступает в силу со дня его официального опубликования в газете «Кашинская газета»</w:t>
      </w:r>
      <w:r>
        <w:rPr>
          <w:rFonts w:ascii="XO Thames" w:hAnsi="XO Thames"/>
          <w:sz w:val="28"/>
        </w:rPr>
        <w:t xml:space="preserve"> и подлежит </w:t>
      </w:r>
      <w:r>
        <w:rPr>
          <w:rFonts w:ascii="XO Thames" w:hAnsi="XO Thames"/>
          <w:sz w:val="28"/>
        </w:rPr>
        <w:t>размещению на официальном сайте Кашинского муниципал</w:t>
      </w:r>
      <w:r>
        <w:rPr>
          <w:rFonts w:ascii="XO Thames" w:hAnsi="XO Thames"/>
          <w:sz w:val="28"/>
        </w:rPr>
        <w:t>ьного округа Тверской области в </w:t>
      </w:r>
      <w:r>
        <w:rPr>
          <w:rFonts w:ascii="XO Thames" w:hAnsi="XO Thames"/>
          <w:sz w:val="28"/>
        </w:rPr>
        <w:t>информационно-телекоммуникационной сети «Интернет».</w:t>
      </w:r>
      <w:r>
        <w:rPr>
          <w:rFonts w:ascii="XO Thames" w:hAnsi="XO Thames"/>
          <w:sz w:val="28"/>
        </w:rPr>
        <w:t xml:space="preserve"> </w:t>
      </w:r>
    </w:p>
    <w:p w14:paraId="1D000000">
      <w:pPr>
        <w:widowControl w:val="0"/>
        <w:tabs>
          <w:tab w:leader="none" w:pos="10205" w:val="left"/>
        </w:tabs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1E000000">
      <w:pPr>
        <w:widowControl w:val="0"/>
        <w:tabs>
          <w:tab w:leader="none" w:pos="10205" w:val="left"/>
        </w:tabs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1F000000">
      <w:pPr>
        <w:widowControl w:val="0"/>
        <w:tabs>
          <w:tab w:leader="none" w:pos="10205" w:val="left"/>
        </w:tabs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20000000">
      <w:pPr>
        <w:widowControl w:val="1"/>
        <w:spacing w:after="0" w:line="240" w:lineRule="auto"/>
        <w:ind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Председатель Думы Кашинского </w:t>
      </w:r>
    </w:p>
    <w:p w14:paraId="21000000">
      <w:pPr>
        <w:widowControl w:val="1"/>
        <w:spacing w:after="0" w:line="240" w:lineRule="auto"/>
        <w:ind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муниципального округа </w:t>
      </w:r>
      <w:r>
        <w:rPr>
          <w:rFonts w:ascii="XO Thames" w:hAnsi="XO Thames"/>
          <w:color w:val="000000"/>
          <w:sz w:val="28"/>
        </w:rPr>
        <w:t xml:space="preserve">Тверской области                                      </w:t>
      </w:r>
      <w:r>
        <w:rPr>
          <w:rFonts w:ascii="XO Thames" w:hAnsi="XO Thames"/>
          <w:sz w:val="28"/>
        </w:rPr>
        <w:t>И.А. Мурашова</w:t>
      </w:r>
    </w:p>
    <w:p w14:paraId="22000000">
      <w:pPr>
        <w:widowControl w:val="1"/>
        <w:spacing w:after="0" w:line="240" w:lineRule="auto"/>
        <w:ind/>
        <w:rPr>
          <w:rFonts w:ascii="XO Thames" w:hAnsi="XO Thames"/>
          <w:color w:val="000000"/>
          <w:sz w:val="28"/>
        </w:rPr>
      </w:pPr>
    </w:p>
    <w:p w14:paraId="23000000">
      <w:pPr>
        <w:widowControl w:val="1"/>
        <w:spacing w:after="0" w:line="240" w:lineRule="auto"/>
        <w:ind/>
        <w:rPr>
          <w:rFonts w:ascii="XO Thames" w:hAnsi="XO Thames"/>
          <w:color w:val="000000"/>
          <w:sz w:val="28"/>
        </w:rPr>
      </w:pPr>
    </w:p>
    <w:p w14:paraId="24000000">
      <w:pPr>
        <w:widowControl w:val="1"/>
        <w:spacing w:after="0" w:line="240" w:lineRule="auto"/>
        <w:ind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И.о. Главы Кашинского муниципального </w:t>
      </w:r>
    </w:p>
    <w:p w14:paraId="25000000">
      <w:pPr>
        <w:widowControl w:val="1"/>
        <w:spacing w:after="0" w:line="240" w:lineRule="auto"/>
        <w:ind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округа </w:t>
      </w:r>
      <w:r>
        <w:rPr>
          <w:rFonts w:ascii="XO Thames" w:hAnsi="XO Thames"/>
          <w:color w:val="000000"/>
          <w:sz w:val="28"/>
        </w:rPr>
        <w:t xml:space="preserve">Тверской области                                                           </w:t>
      </w:r>
      <w:bookmarkStart w:id="9" w:name="_GoBack"/>
      <w:bookmarkEnd w:id="9"/>
      <w:r>
        <w:rPr>
          <w:rFonts w:ascii="XO Thames" w:hAnsi="XO Thames"/>
          <w:color w:val="000000"/>
          <w:sz w:val="28"/>
        </w:rPr>
        <w:t xml:space="preserve">              С.В. Галяева</w:t>
      </w:r>
    </w:p>
    <w:sectPr>
      <w:headerReference r:id="rId1" w:type="default"/>
      <w:pgSz w:h="16848" w:orient="portrait" w:w="11908"/>
      <w:pgMar w:bottom="1134" w:footer="709" w:gutter="0" w:header="709" w:left="1701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XO Thames" w:hAnsi="XO Thames"/>
        <w:sz w:val="24"/>
      </w:rPr>
    </w:pPr>
    <w:r>
      <w:rPr>
        <w:rFonts w:ascii="XO Thames" w:hAnsi="XO Thames"/>
        <w:sz w:val="24"/>
      </w:rPr>
      <w:fldChar w:fldCharType="begin"/>
    </w:r>
    <w:r>
      <w:rPr>
        <w:rFonts w:ascii="XO Thames" w:hAnsi="XO Thames"/>
        <w:sz w:val="24"/>
      </w:rPr>
      <w:instrText xml:space="preserve">PAGE </w:instrText>
    </w:r>
    <w:r>
      <w:rPr>
        <w:rFonts w:ascii="XO Thames" w:hAnsi="XO Thames"/>
        <w:sz w:val="24"/>
      </w:rPr>
      <w:fldChar w:fldCharType="separate"/>
    </w:r>
    <w:r>
      <w:rPr>
        <w:rFonts w:ascii="XO Thames" w:hAnsi="XO Thames"/>
        <w:sz w:val="24"/>
      </w:rPr>
      <w:t xml:space="preserve"> </w:t>
    </w:r>
    <w:r>
      <w:rPr>
        <w:rFonts w:ascii="XO Thames" w:hAnsi="XO Thames"/>
        <w:sz w:val="24"/>
      </w:rPr>
      <w:fldChar w:fldCharType="end"/>
    </w:r>
  </w:p>
  <w:p w14:paraId="02000000">
    <w:pPr>
      <w:pStyle w:val="Style_1"/>
      <w:rPr>
        <w:rFonts w:ascii="XO Thames" w:hAnsi="XO Thames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widowControl w:val="1"/>
      <w:ind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widowControl w:val="1"/>
      <w:ind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toc 6"/>
    <w:next w:val="Style_5"/>
    <w:link w:val="Style_9_ch"/>
    <w:uiPriority w:val="39"/>
    <w:pPr>
      <w:widowControl w:val="1"/>
      <w:ind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7"/>
    <w:next w:val="Style_5"/>
    <w:link w:val="Style_11_ch"/>
    <w:uiPriority w:val="39"/>
    <w:pPr>
      <w:widowControl w:val="1"/>
      <w:ind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widowControl w:val="1"/>
      <w:ind w:firstLine="851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5"/>
    <w:link w:val="Style_13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footer"/>
    <w:basedOn w:val="Style_5"/>
    <w:link w:val="Style_14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footer"/>
    <w:basedOn w:val="Style_5_ch"/>
    <w:link w:val="Style_14"/>
  </w:style>
  <w:style w:styleId="Style_15" w:type="paragraph">
    <w:name w:val="footnote reference"/>
    <w:basedOn w:val="Style_10"/>
    <w:link w:val="Style_15_ch"/>
    <w:rPr>
      <w:vertAlign w:val="superscript"/>
    </w:rPr>
  </w:style>
  <w:style w:styleId="Style_15_ch" w:type="character">
    <w:name w:val="footnote reference"/>
    <w:basedOn w:val="Style_10_ch"/>
    <w:link w:val="Style_15"/>
    <w:rPr>
      <w:vertAlign w:val="superscript"/>
    </w:rPr>
  </w:style>
  <w:style w:styleId="Style_3" w:type="paragraph">
    <w:name w:val="Standard"/>
    <w:link w:val="Style_3_ch"/>
    <w:pPr>
      <w:widowControl w:val="1"/>
      <w:spacing w:after="0" w:line="240" w:lineRule="auto"/>
      <w:ind/>
      <w:jc w:val="both"/>
    </w:pPr>
    <w:rPr>
      <w:rFonts w:ascii="XO Thames" w:hAnsi="XO Thames"/>
      <w:sz w:val="28"/>
    </w:rPr>
  </w:style>
  <w:style w:styleId="Style_3_ch" w:type="character">
    <w:name w:val="Standard"/>
    <w:link w:val="Style_3"/>
    <w:rPr>
      <w:rFonts w:ascii="XO Thames" w:hAnsi="XO Thames"/>
      <w:sz w:val="28"/>
    </w:rPr>
  </w:style>
  <w:style w:styleId="Style_16" w:type="paragraph">
    <w:name w:val="Balloon Text"/>
    <w:basedOn w:val="Style_5"/>
    <w:link w:val="Style_16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5_ch"/>
    <w:link w:val="Style_16"/>
    <w:rPr>
      <w:rFonts w:ascii="Tahoma" w:hAnsi="Tahoma"/>
      <w:sz w:val="16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Footnote"/>
    <w:link w:val="Style_19_ch"/>
    <w:pPr>
      <w:widowControl w:val="1"/>
      <w:ind w:firstLine="851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3"/>
    <w:next w:val="Style_5"/>
    <w:link w:val="Style_20_ch"/>
    <w:uiPriority w:val="39"/>
    <w:pPr>
      <w:widowControl w:val="1"/>
      <w:ind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heading 5"/>
    <w:next w:val="Style_5"/>
    <w:link w:val="Style_22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2_ch" w:type="character">
    <w:name w:val="heading 5"/>
    <w:link w:val="Style_22"/>
    <w:rPr>
      <w:rFonts w:ascii="XO Thames" w:hAnsi="XO Thames"/>
      <w:b w:val="1"/>
    </w:rPr>
  </w:style>
  <w:style w:styleId="Style_23" w:type="paragraph">
    <w:name w:val="List Paragraph"/>
    <w:basedOn w:val="Style_5"/>
    <w:link w:val="Style_23_ch"/>
    <w:pPr>
      <w:widowControl w:val="1"/>
      <w:ind w:left="720"/>
      <w:contextualSpacing w:val="1"/>
    </w:pPr>
  </w:style>
  <w:style w:styleId="Style_23_ch" w:type="character">
    <w:name w:val="List Paragraph"/>
    <w:basedOn w:val="Style_5_ch"/>
    <w:link w:val="Style_23"/>
  </w:style>
  <w:style w:styleId="Style_24" w:type="paragraph">
    <w:name w:val="heading 1"/>
    <w:next w:val="Style_5"/>
    <w:link w:val="Style_24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basedOn w:val="Style_5"/>
    <w:link w:val="Style_26_ch"/>
    <w:pPr>
      <w:widowControl w:val="1"/>
      <w:spacing w:after="0" w:line="240" w:lineRule="auto"/>
      <w:ind/>
    </w:pPr>
    <w:rPr>
      <w:sz w:val="20"/>
    </w:rPr>
  </w:style>
  <w:style w:styleId="Style_26_ch" w:type="character">
    <w:name w:val="Footnote"/>
    <w:basedOn w:val="Style_5_ch"/>
    <w:link w:val="Style_26"/>
    <w:rPr>
      <w:sz w:val="20"/>
    </w:rPr>
  </w:style>
  <w:style w:styleId="Style_27" w:type="paragraph">
    <w:name w:val="toc 1"/>
    <w:next w:val="Style_5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toc 9"/>
    <w:next w:val="Style_5"/>
    <w:link w:val="Style_29_ch"/>
    <w:uiPriority w:val="39"/>
    <w:pPr>
      <w:widowControl w:val="1"/>
      <w:ind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5"/>
    <w:link w:val="Style_30_ch"/>
    <w:uiPriority w:val="39"/>
    <w:pPr>
      <w:widowControl w:val="1"/>
      <w:ind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5"/>
    <w:link w:val="Style_31_ch"/>
    <w:uiPriority w:val="39"/>
    <w:pPr>
      <w:widowControl w:val="1"/>
      <w:ind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_ch" w:type="character">
    <w:name w:val="header"/>
    <w:basedOn w:val="Style_5_ch"/>
    <w:link w:val="Style_1"/>
    <w:rPr>
      <w:rFonts w:ascii="Times New Roman" w:hAnsi="Times New Roman"/>
      <w:sz w:val="28"/>
    </w:rPr>
  </w:style>
  <w:style w:styleId="Style_34" w:type="paragraph">
    <w:name w:val="Subtitle"/>
    <w:next w:val="Style_5"/>
    <w:link w:val="Style_34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5"/>
    <w:link w:val="Style_35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5"/>
    <w:link w:val="Style_36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4" w:type="paragraph">
    <w:name w:val="Normal (Web)"/>
    <w:basedOn w:val="Style_5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5_ch"/>
    <w:link w:val="Style_4"/>
    <w:rPr>
      <w:rFonts w:ascii="Times New Roman" w:hAnsi="Times New Roman"/>
      <w:sz w:val="24"/>
    </w:rPr>
  </w:style>
  <w:style w:styleId="Style_37" w:type="paragraph">
    <w:name w:val="heading 2"/>
    <w:next w:val="Style_5"/>
    <w:link w:val="Style_37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2019-01-14T08:51:00Z</dcterms:created>
  <dcterms:modified xsi:type="dcterms:W3CDTF">2025-10-01T07:09:13Z</dcterms:modified>
</cp:coreProperties>
</file>