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4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</w:p>
    <w:p w14:paraId="06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22.07.2025 №159  </w:t>
      </w:r>
    </w:p>
    <w:p w14:paraId="07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«Утвержден</w:t>
      </w:r>
    </w:p>
    <w:p w14:paraId="09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Кашинской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Думы</w:t>
      </w:r>
    </w:p>
    <w:p w14:paraId="0B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25.12.2024 № 90</w:t>
      </w:r>
    </w:p>
    <w:p w14:paraId="0C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0D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ПРОГНОЗНЫЙ ПЛАН (ПРОГРАММА)</w:t>
      </w:r>
    </w:p>
    <w:p w14:paraId="10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приватизации муниципального имущества муниципального образования </w:t>
      </w:r>
      <w:r>
        <w:rPr>
          <w:rFonts w:ascii="Times New Roman" w:hAnsi="Times New Roman"/>
          <w:b w:val="1"/>
          <w:sz w:val="28"/>
        </w:rPr>
        <w:t>Кашинский</w:t>
      </w:r>
      <w:r>
        <w:rPr>
          <w:rFonts w:ascii="Times New Roman" w:hAnsi="Times New Roman"/>
          <w:b w:val="1"/>
          <w:sz w:val="28"/>
        </w:rPr>
        <w:t xml:space="preserve"> муниципальный округ Тверской области </w:t>
      </w:r>
    </w:p>
    <w:p w14:paraId="1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2025–2027 годы</w:t>
      </w:r>
    </w:p>
    <w:p w14:paraId="12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1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</w:t>
      </w:r>
    </w:p>
    <w:p w14:paraId="14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в сфере приватизации</w:t>
      </w:r>
    </w:p>
    <w:p w14:paraId="15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имущества </w:t>
      </w:r>
    </w:p>
    <w:p w14:paraId="16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1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прогнозный план (программа) приватизации муниципального имущества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муниципальный округ Тверской области на 2025–2027 годы (далее – соответственно План приватизации, муниципальное имущество) разработан в соответствии с Федеральным законом от 21.12.2001 № 178-ФЗ «О приватизации государственного и муниципального имущества» (далее – </w:t>
      </w:r>
      <w:r>
        <w:rPr>
          <w:rFonts w:ascii="Times New Roman" w:hAnsi="Times New Roman"/>
          <w:sz w:val="28"/>
        </w:rPr>
        <w:t>Федеральный закон № 178-ФЗ)</w:t>
      </w:r>
      <w:r>
        <w:rPr>
          <w:rFonts w:ascii="Times New Roman" w:hAnsi="Times New Roman"/>
          <w:sz w:val="28"/>
        </w:rPr>
        <w:t xml:space="preserve">, Федеральным законом от 22.07.2008 № 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159-ФЗ). </w:t>
      </w:r>
    </w:p>
    <w:p w14:paraId="1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реализации Плана приватизации являются повышение эффективности управления муниципальным имуществом, обеспечение планомерности процесса приватизации, продолжение работы по оптимизации структуры муниципального имущества, а также стимулирование привлечения инвестиций в реальный сектор экономики.</w:t>
      </w:r>
    </w:p>
    <w:p w14:paraId="19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приватизации муниципального имущества в                 2025–2027 годах являются:</w:t>
      </w:r>
    </w:p>
    <w:p w14:paraId="1A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поступлений в бюджет Кашинского муниципального округа Тверской области и снижение расходов на содержание запланированного к приватизации муниципального имущества;</w:t>
      </w:r>
    </w:p>
    <w:p w14:paraId="1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требований Федерального закона № 159-ФЗ.</w:t>
      </w:r>
    </w:p>
    <w:p w14:paraId="1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указанных целей и реализация поставленных задач будет осуществляться в рамках законодательства Российской Федерации. Согласно </w:t>
      </w:r>
      <w:r>
        <w:rPr>
          <w:rFonts w:ascii="Times New Roman" w:hAnsi="Times New Roman"/>
          <w:sz w:val="28"/>
        </w:rPr>
        <w:t xml:space="preserve">законодательству Российской Федерации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приватизаци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приватизация </w:t>
      </w:r>
      <w:r>
        <w:rPr>
          <w:rFonts w:ascii="Times New Roman" w:hAnsi="Times New Roman"/>
          <w:sz w:val="28"/>
        </w:rPr>
        <w:t>муниципального имущества основывается на признании равенства приобретателей (покупателей) муниципального имущества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открытости деятельности органов местного самоуправления.</w:t>
      </w:r>
    </w:p>
    <w:p w14:paraId="1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Рыночная стоимость муниципального имущества, планируемого к приватизации в 2025–2027 годах, определяется в соответствии с Федеральным законом от 29.07.1998 № 135-ФЗ «Об оценочной деятельности в Российской Федерации». </w:t>
      </w:r>
    </w:p>
    <w:p w14:paraId="1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анализа муниципального имущества, включенного в План приватизации, ожидается получение доходов в бюджет Кашинского муниципального округа Тверской области в 2025 году – </w:t>
      </w:r>
      <w:r>
        <w:rPr>
          <w:rFonts w:ascii="Times New Roman" w:hAnsi="Times New Roman"/>
          <w:b w:val="1"/>
          <w:sz w:val="28"/>
        </w:rPr>
        <w:t>6 </w:t>
      </w:r>
      <w:r>
        <w:rPr>
          <w:rFonts w:ascii="Times New Roman" w:hAnsi="Times New Roman"/>
          <w:b w:val="1"/>
          <w:sz w:val="28"/>
        </w:rPr>
        <w:t>758</w:t>
      </w:r>
      <w:r>
        <w:rPr>
          <w:rFonts w:ascii="Times New Roman" w:hAnsi="Times New Roman"/>
          <w:b w:val="1"/>
          <w:sz w:val="28"/>
        </w:rPr>
        <w:t> 283,66 руб</w:t>
      </w:r>
      <w:r>
        <w:rPr>
          <w:rFonts w:ascii="Times New Roman" w:hAnsi="Times New Roman"/>
          <w:sz w:val="28"/>
        </w:rPr>
        <w:t>., в том числе от продажи недвижимого имущества – 5 </w:t>
      </w:r>
      <w:r>
        <w:rPr>
          <w:rFonts w:ascii="Times New Roman" w:hAnsi="Times New Roman"/>
          <w:sz w:val="28"/>
        </w:rPr>
        <w:t>650</w:t>
      </w:r>
      <w:r>
        <w:rPr>
          <w:rFonts w:ascii="Times New Roman" w:hAnsi="Times New Roman"/>
          <w:sz w:val="28"/>
        </w:rPr>
        <w:t xml:space="preserve"> 833,33 руб.; от продажи движимого имущества – 33 333,33 руб.;  от продажи </w:t>
      </w:r>
      <w:r>
        <w:rPr>
          <w:rFonts w:ascii="Times New Roman" w:hAnsi="Times New Roman"/>
          <w:sz w:val="28"/>
        </w:rPr>
        <w:t>долей в уставном капитале (</w:t>
      </w:r>
      <w:r>
        <w:rPr>
          <w:rFonts w:ascii="Times New Roman" w:hAnsi="Times New Roman"/>
          <w:sz w:val="28"/>
        </w:rPr>
        <w:t>акций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акционерного общества, находящихся в муниципальной собственности - 1 074 117,00 руб.</w:t>
      </w:r>
    </w:p>
    <w:p w14:paraId="1F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и 2027 годах поступлений в бюджет Кашинского муниципального округа Тверской области от продажи муниципального имущества не планируется.</w:t>
      </w:r>
    </w:p>
    <w:p w14:paraId="2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планируется завершение процедуры реорганизации Муниципальных унитарных предприятий Кашинского городского округа Тверской области «Гостиница», «Надежда», «Производственно-жилищное ремонтно-эксплуатационное управление» в форме преобразования в общества с ограниченной ответственностью, которая началась в 2024 году.</w:t>
      </w:r>
    </w:p>
    <w:p w14:paraId="2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II</w:t>
      </w:r>
    </w:p>
    <w:p w14:paraId="2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имущества,</w:t>
      </w:r>
    </w:p>
    <w:p w14:paraId="2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приватизация которого планируется в 2025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>2027 годах</w:t>
      </w:r>
    </w:p>
    <w:p w14:paraId="25000000">
      <w:pPr>
        <w:widowControl w:val="1"/>
        <w:ind/>
        <w:jc w:val="center"/>
        <w:rPr>
          <w:rFonts w:ascii="Times New Roman" w:hAnsi="Times New Roman"/>
          <w:sz w:val="28"/>
        </w:rPr>
      </w:pPr>
      <w:bookmarkStart w:id="2" w:name="_Hlk203574262"/>
    </w:p>
    <w:p w14:paraId="26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Недвижимое имущество</w:t>
      </w:r>
    </w:p>
    <w:tbl>
      <w:tblPr>
        <w:tblStyle w:val="Style_2"/>
        <w:tblW w:type="auto" w:w="0"/>
        <w:tblLayout w:type="fixed"/>
      </w:tblPr>
      <w:tblGrid>
        <w:gridCol w:w="279"/>
        <w:gridCol w:w="1276"/>
        <w:gridCol w:w="1842"/>
        <w:gridCol w:w="1843"/>
        <w:gridCol w:w="1418"/>
        <w:gridCol w:w="1134"/>
        <w:gridCol w:w="1134"/>
        <w:gridCol w:w="842"/>
      </w:tblGrid>
      <w:tr>
        <w:trPr>
          <w:tblHeader/>
        </w:trPr>
        <w:tc>
          <w:tcPr>
            <w:tcW w:type="dxa" w:w="279"/>
          </w:tcPr>
          <w:p w14:paraId="27000000">
            <w:pPr>
              <w:widowControl w:val="1"/>
              <w:ind w:left="-120"/>
              <w:jc w:val="center"/>
              <w:rPr>
                <w:rFonts w:ascii="Times New Roman" w:hAnsi="Times New Roman"/>
                <w:b w:val="1"/>
              </w:rPr>
            </w:pPr>
            <w:bookmarkStart w:id="3" w:name="_Hlk157777794"/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276"/>
          </w:tcPr>
          <w:p w14:paraId="28000000">
            <w:pPr>
              <w:widowControl w:val="1"/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ние</w:t>
            </w:r>
            <w:r>
              <w:rPr>
                <w:rFonts w:ascii="Times New Roman" w:hAnsi="Times New Roman"/>
                <w:b w:val="1"/>
              </w:rPr>
              <w:t xml:space="preserve"> объекта</w:t>
            </w:r>
          </w:p>
        </w:tc>
        <w:tc>
          <w:tcPr>
            <w:tcW w:type="dxa" w:w="1842"/>
          </w:tcPr>
          <w:p w14:paraId="29000000">
            <w:pPr>
              <w:widowControl w:val="1"/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(местонахождение) объекта</w:t>
            </w:r>
          </w:p>
        </w:tc>
        <w:tc>
          <w:tcPr>
            <w:tcW w:type="dxa" w:w="1843"/>
          </w:tcPr>
          <w:p w14:paraId="2A000000">
            <w:pPr>
              <w:widowControl w:val="1"/>
              <w:ind w:left="-106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Индивидуализирующие характеристики объекта</w:t>
            </w:r>
          </w:p>
        </w:tc>
        <w:tc>
          <w:tcPr>
            <w:tcW w:type="dxa" w:w="1418"/>
          </w:tcPr>
          <w:p w14:paraId="2B000000">
            <w:pPr>
              <w:widowControl w:val="1"/>
              <w:ind w:left="-108" w:right="-10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Ограничения (обременения) имущества</w:t>
            </w:r>
          </w:p>
        </w:tc>
        <w:tc>
          <w:tcPr>
            <w:tcW w:type="dxa" w:w="1134"/>
          </w:tcPr>
          <w:p w14:paraId="2C000000">
            <w:pPr>
              <w:widowControl w:val="1"/>
              <w:ind w:left="-113" w:right="-11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Предполагаемая цена продажи (без НДС), руб.</w:t>
            </w:r>
          </w:p>
        </w:tc>
        <w:tc>
          <w:tcPr>
            <w:tcW w:type="dxa" w:w="1134"/>
          </w:tcPr>
          <w:p w14:paraId="2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842"/>
          </w:tcPr>
          <w:p w14:paraId="2E000000">
            <w:pPr>
              <w:widowControl w:val="1"/>
              <w:ind w:left="-113" w:righ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422"/>
        </w:trPr>
        <w:tc>
          <w:tcPr>
            <w:tcW w:type="dxa" w:w="9768"/>
            <w:gridSpan w:val="8"/>
            <w:vAlign w:val="center"/>
          </w:tcPr>
          <w:p w14:paraId="2F000000">
            <w:pPr>
              <w:widowControl w:val="1"/>
              <w:ind w:left="-22"/>
              <w:jc w:val="center"/>
              <w:rPr>
                <w:rFonts w:ascii="Times New Roman" w:hAnsi="Times New Roman"/>
                <w:b w:val="1"/>
              </w:rPr>
            </w:pPr>
            <w:bookmarkStart w:id="4" w:name="_Hlk157779787"/>
            <w:r>
              <w:rPr>
                <w:rFonts w:ascii="Times New Roman" w:hAnsi="Times New Roman"/>
                <w:b w:val="1"/>
              </w:rPr>
              <w:t>Предполагаемый срок приватизации - 2025 год</w:t>
            </w:r>
            <w:bookmarkEnd w:id="4"/>
          </w:p>
        </w:tc>
      </w:tr>
      <w:tr>
        <w:tc>
          <w:tcPr>
            <w:tcW w:type="dxa" w:w="279"/>
          </w:tcPr>
          <w:p w14:paraId="30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6"/>
          </w:tcPr>
          <w:p w14:paraId="31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здания (школа, мастерская, котельная) с земельным участком</w:t>
            </w:r>
          </w:p>
        </w:tc>
        <w:tc>
          <w:tcPr>
            <w:tcW w:type="dxa" w:w="1842"/>
          </w:tcPr>
          <w:p w14:paraId="32000000">
            <w:pPr>
              <w:widowControl w:val="1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Фролово, дом 7</w:t>
            </w:r>
          </w:p>
        </w:tc>
        <w:tc>
          <w:tcPr>
            <w:tcW w:type="dxa" w:w="1843"/>
          </w:tcPr>
          <w:p w14:paraId="33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69:12:0111901:98 Площадь зданий: 576,1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69:12:0111901:46 Площадь земельного участка: 6700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3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35000000">
            <w:pPr>
              <w:widowControl w:val="1"/>
              <w:ind w:left="-126"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1 633 333,33</w:t>
            </w:r>
          </w:p>
        </w:tc>
        <w:tc>
          <w:tcPr>
            <w:tcW w:type="dxa" w:w="1134"/>
          </w:tcPr>
          <w:p w14:paraId="36000000">
            <w:pPr>
              <w:widowControl w:val="1"/>
              <w:ind w:left="-107" w:right="-1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имущества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посредством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публичного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предложения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842"/>
          </w:tcPr>
          <w:p w14:paraId="3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</w:tcPr>
          <w:p w14:paraId="38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276"/>
          </w:tcPr>
          <w:p w14:paraId="39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(школа) с земельным участком</w:t>
            </w:r>
          </w:p>
        </w:tc>
        <w:tc>
          <w:tcPr>
            <w:tcW w:type="dxa" w:w="1842"/>
          </w:tcPr>
          <w:p w14:paraId="3A000000">
            <w:pPr>
              <w:widowControl w:val="1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Лобково</w:t>
            </w:r>
            <w:r>
              <w:rPr>
                <w:rFonts w:ascii="Times New Roman" w:hAnsi="Times New Roman"/>
              </w:rPr>
              <w:t>, дом 3</w:t>
            </w:r>
          </w:p>
        </w:tc>
        <w:tc>
          <w:tcPr>
            <w:tcW w:type="dxa" w:w="1843"/>
          </w:tcPr>
          <w:p w14:paraId="3B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69:12:0150602:14 Площадь здания: 341,4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69:12:0150602:158 Площадь земельного участка: 1900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3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3D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891 666,67</w:t>
            </w:r>
          </w:p>
        </w:tc>
        <w:tc>
          <w:tcPr>
            <w:tcW w:type="dxa" w:w="1134"/>
          </w:tcPr>
          <w:p w14:paraId="3E000000">
            <w:pPr>
              <w:widowControl w:val="1"/>
              <w:ind w:left="-107" w:right="-111"/>
            </w:pPr>
            <w:r>
              <w:rPr>
                <w:rFonts w:ascii="Times New Roman" w:hAnsi="Times New Roman"/>
              </w:rPr>
              <w:t>Продажа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имущества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посредством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публичного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предложения</w:t>
            </w:r>
            <w:bookmarkEnd w:id="3"/>
          </w:p>
        </w:tc>
        <w:tc>
          <w:tcPr>
            <w:tcW w:type="dxa" w:w="842"/>
          </w:tcPr>
          <w:p w14:paraId="3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</w:tcPr>
          <w:p w14:paraId="40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1276"/>
          </w:tcPr>
          <w:p w14:paraId="41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42000000">
            <w:pPr>
              <w:widowControl w:val="1"/>
              <w:ind w:left="-104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Верхняя Троица, улица Центральная, дом 1, помещение 20</w:t>
            </w:r>
          </w:p>
        </w:tc>
        <w:tc>
          <w:tcPr>
            <w:tcW w:type="dxa" w:w="1843"/>
          </w:tcPr>
          <w:p w14:paraId="4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69:12:0220101:1261</w:t>
            </w:r>
          </w:p>
          <w:p w14:paraId="4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60,5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4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46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291 666,67</w:t>
            </w:r>
          </w:p>
        </w:tc>
        <w:tc>
          <w:tcPr>
            <w:tcW w:type="dxa" w:w="1134"/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48000000">
            <w:pPr>
              <w:widowControl w:val="1"/>
              <w:ind w:left="-113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Продано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Договор купли-продажи №02/2025 от 27.03.2025 </w:t>
            </w:r>
          </w:p>
        </w:tc>
      </w:tr>
      <w:tr>
        <w:tc>
          <w:tcPr>
            <w:tcW w:type="dxa" w:w="279"/>
          </w:tcPr>
          <w:p w14:paraId="49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1276"/>
          </w:tcPr>
          <w:p w14:paraId="4A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4B000000">
            <w:pPr>
              <w:widowControl w:val="1"/>
              <w:ind w:left="-104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улица Анатолия Луначарского, дом 6</w:t>
            </w:r>
          </w:p>
        </w:tc>
        <w:tc>
          <w:tcPr>
            <w:tcW w:type="dxa" w:w="1843"/>
          </w:tcPr>
          <w:p w14:paraId="4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</w:t>
            </w:r>
            <w:bookmarkStart w:id="5" w:name="_Hlk203134984"/>
            <w:r>
              <w:rPr>
                <w:rFonts w:ascii="Times New Roman" w:hAnsi="Times New Roman"/>
              </w:rPr>
              <w:t>69:41:0010310:104</w:t>
            </w:r>
            <w:bookmarkEnd w:id="5"/>
          </w:p>
          <w:p w14:paraId="4D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87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4E000000">
            <w:pPr>
              <w:widowControl w:val="1"/>
              <w:tabs>
                <w:tab w:leader="none" w:pos="240" w:val="left"/>
                <w:tab w:leader="none" w:pos="4677" w:val="center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Имеются*</w:t>
            </w:r>
          </w:p>
        </w:tc>
        <w:tc>
          <w:tcPr>
            <w:tcW w:type="dxa" w:w="1134"/>
          </w:tcPr>
          <w:p w14:paraId="4F000000">
            <w:pPr>
              <w:widowControl w:val="1"/>
              <w:ind w:left="-126" w:right="-249"/>
              <w:jc w:val="both"/>
              <w:rPr>
                <w:rFonts w:ascii="Times New Roman" w:hAnsi="Times New Roman"/>
              </w:rPr>
            </w:pPr>
            <w:bookmarkStart w:id="6" w:name="_Hlk203135060"/>
            <w:r>
              <w:rPr>
                <w:rFonts w:ascii="Times New Roman" w:hAnsi="Times New Roman"/>
              </w:rPr>
              <w:t>1 037 500,00</w:t>
            </w:r>
            <w:bookmarkEnd w:id="6"/>
          </w:p>
        </w:tc>
        <w:tc>
          <w:tcPr>
            <w:tcW w:type="dxa" w:w="1134"/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51000000">
            <w:pPr>
              <w:widowControl w:val="1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Продано. Договор купли-продажи №03/2025 от </w:t>
            </w:r>
            <w:r>
              <w:rPr>
                <w:rFonts w:ascii="Times New Roman" w:hAnsi="Times New Roman"/>
                <w:sz w:val="16"/>
              </w:rPr>
              <w:t>14</w:t>
            </w:r>
            <w:r>
              <w:rPr>
                <w:rFonts w:ascii="Times New Roman" w:hAnsi="Times New Roman"/>
                <w:sz w:val="16"/>
              </w:rPr>
              <w:t>.07.2025</w:t>
            </w:r>
          </w:p>
        </w:tc>
      </w:tr>
      <w:tr>
        <w:tc>
          <w:tcPr>
            <w:tcW w:type="dxa" w:w="279"/>
          </w:tcPr>
          <w:p w14:paraId="52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1276"/>
          </w:tcPr>
          <w:p w14:paraId="53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54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Леушино</w:t>
            </w:r>
            <w:r>
              <w:rPr>
                <w:rFonts w:ascii="Times New Roman" w:hAnsi="Times New Roman"/>
              </w:rPr>
              <w:t>, дом 44, помещение 6</w:t>
            </w:r>
          </w:p>
        </w:tc>
        <w:tc>
          <w:tcPr>
            <w:tcW w:type="dxa" w:w="1843"/>
          </w:tcPr>
          <w:p w14:paraId="5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</w:t>
            </w:r>
            <w:bookmarkStart w:id="7" w:name="_Hlk203135117"/>
            <w:r>
              <w:rPr>
                <w:rFonts w:ascii="Times New Roman" w:hAnsi="Times New Roman"/>
              </w:rPr>
              <w:t xml:space="preserve">69:12:0240601:397 </w:t>
            </w:r>
            <w:bookmarkEnd w:id="7"/>
          </w:p>
          <w:p w14:paraId="56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Площадь: 59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  <w:p w14:paraId="5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5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59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308 333,33</w:t>
            </w:r>
          </w:p>
        </w:tc>
        <w:tc>
          <w:tcPr>
            <w:tcW w:type="dxa" w:w="1134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5B000000">
            <w:pPr>
              <w:widowControl w:val="1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Продано. Договор купли-продажи №04/2025 от </w:t>
            </w:r>
            <w:r>
              <w:rPr>
                <w:rFonts w:ascii="Times New Roman" w:hAnsi="Times New Roman"/>
                <w:sz w:val="16"/>
              </w:rPr>
              <w:t>14</w:t>
            </w:r>
            <w:r>
              <w:rPr>
                <w:rFonts w:ascii="Times New Roman" w:hAnsi="Times New Roman"/>
                <w:sz w:val="16"/>
              </w:rPr>
              <w:t>.07.2025</w:t>
            </w:r>
          </w:p>
        </w:tc>
      </w:tr>
      <w:tr>
        <w:tc>
          <w:tcPr>
            <w:tcW w:type="dxa" w:w="279"/>
          </w:tcPr>
          <w:p w14:paraId="5C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276"/>
          </w:tcPr>
          <w:p w14:paraId="5D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(дом культуры) с земельным участком</w:t>
            </w:r>
          </w:p>
        </w:tc>
        <w:tc>
          <w:tcPr>
            <w:tcW w:type="dxa" w:w="1842"/>
          </w:tcPr>
          <w:p w14:paraId="5E000000">
            <w:pPr>
              <w:widowControl w:val="1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Фалево</w:t>
            </w:r>
            <w:r>
              <w:rPr>
                <w:rFonts w:ascii="Times New Roman" w:hAnsi="Times New Roman"/>
              </w:rPr>
              <w:t>, улица Школьная, дом 4</w:t>
            </w:r>
          </w:p>
        </w:tc>
        <w:tc>
          <w:tcPr>
            <w:tcW w:type="dxa" w:w="1843"/>
          </w:tcPr>
          <w:p w14:paraId="5F000000">
            <w:pPr>
              <w:widowControl w:val="1"/>
              <w:ind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здания: 69:12:0120101:142 Площадь здания: 281,6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 земельного участка: 69:12:0120101:90 Площадь земельного участка: 1248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6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61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530 000,00</w:t>
            </w:r>
          </w:p>
        </w:tc>
        <w:tc>
          <w:tcPr>
            <w:tcW w:type="dxa" w:w="1134"/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  <w:tc>
          <w:tcPr>
            <w:tcW w:type="dxa" w:w="842"/>
          </w:tcPr>
          <w:p w14:paraId="6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  <w:vMerge w:val="restart"/>
          </w:tcPr>
          <w:p w14:paraId="64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276"/>
          </w:tcPr>
          <w:p w14:paraId="65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66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</w:t>
            </w:r>
          </w:p>
        </w:tc>
        <w:tc>
          <w:tcPr>
            <w:tcW w:type="dxa" w:w="1843"/>
          </w:tcPr>
          <w:p w14:paraId="6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69:41:0010311:168 </w:t>
            </w:r>
          </w:p>
          <w:p w14:paraId="6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36,1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vMerge w:val="restart"/>
          </w:tcPr>
          <w:p w14:paraId="69000000">
            <w:pPr>
              <w:widowControl w:val="1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Имеются**</w:t>
            </w:r>
          </w:p>
        </w:tc>
        <w:tc>
          <w:tcPr>
            <w:tcW w:type="dxa" w:w="1134"/>
            <w:vMerge w:val="restart"/>
          </w:tcPr>
          <w:p w14:paraId="6A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308 333,33</w:t>
            </w:r>
          </w:p>
        </w:tc>
        <w:tc>
          <w:tcPr>
            <w:tcW w:type="dxa" w:w="1134"/>
            <w:vMerge w:val="restart"/>
          </w:tcPr>
          <w:p w14:paraId="6B000000">
            <w:pPr>
              <w:widowControl w:val="1"/>
              <w:ind w:left="-107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842"/>
            <w:vMerge w:val="restart"/>
          </w:tcPr>
          <w:p w14:paraId="6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6D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6E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7</w:t>
            </w:r>
          </w:p>
        </w:tc>
        <w:tc>
          <w:tcPr>
            <w:tcW w:type="dxa" w:w="1843"/>
          </w:tcPr>
          <w:p w14:paraId="6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69:41:0010311:50 </w:t>
            </w:r>
          </w:p>
          <w:p w14:paraId="7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12,4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1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2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34</w:t>
            </w:r>
          </w:p>
        </w:tc>
        <w:tc>
          <w:tcPr>
            <w:tcW w:type="dxa" w:w="1843"/>
          </w:tcPr>
          <w:p w14:paraId="7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69:41:0010311:197 </w:t>
            </w:r>
          </w:p>
          <w:p w14:paraId="7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10,5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5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6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39</w:t>
            </w:r>
          </w:p>
        </w:tc>
        <w:tc>
          <w:tcPr>
            <w:tcW w:type="dxa" w:w="1843"/>
          </w:tcPr>
          <w:p w14:paraId="7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69:41:0010311:184 </w:t>
            </w:r>
          </w:p>
          <w:p w14:paraId="7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10,6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9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A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40</w:t>
            </w:r>
          </w:p>
        </w:tc>
        <w:tc>
          <w:tcPr>
            <w:tcW w:type="dxa" w:w="1843"/>
          </w:tcPr>
          <w:p w14:paraId="7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69:41:0010311:352 </w:t>
            </w:r>
          </w:p>
          <w:p w14:paraId="7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15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7D000000">
            <w:pPr>
              <w:widowControl w:val="1"/>
              <w:ind w:left="-105"/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7E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41</w:t>
            </w:r>
          </w:p>
        </w:tc>
        <w:tc>
          <w:tcPr>
            <w:tcW w:type="dxa" w:w="1843"/>
          </w:tcPr>
          <w:p w14:paraId="7F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нежилое Кадастровый номер помещения: 69:41:0010311:353 </w:t>
            </w:r>
          </w:p>
          <w:p w14:paraId="8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8,3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  <w:gridSpan w:val="1"/>
            <w:vMerge w:val="continue"/>
          </w:tcPr>
          <w:p/>
        </w:tc>
        <w:tc>
          <w:tcPr>
            <w:tcW w:type="dxa" w:w="1276"/>
          </w:tcPr>
          <w:p w14:paraId="81000000">
            <w:pPr>
              <w:widowControl w:val="1"/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82000000">
            <w:pPr>
              <w:widowControl w:val="1"/>
              <w:ind w:left="-104"/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площадь Пролетарская, дом 23, помещение 42</w:t>
            </w:r>
          </w:p>
        </w:tc>
        <w:tc>
          <w:tcPr>
            <w:tcW w:type="dxa" w:w="1843"/>
          </w:tcPr>
          <w:p w14:paraId="8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69:41:0010311:359</w:t>
            </w:r>
          </w:p>
          <w:p w14:paraId="8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17,9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</w:tcPr>
          <w:p/>
        </w:tc>
        <w:tc>
          <w:tcPr>
            <w:tcW w:type="dxa" w:w="842"/>
            <w:gridSpan w:val="1"/>
            <w:vMerge w:val="continue"/>
          </w:tcPr>
          <w:p/>
        </w:tc>
      </w:tr>
      <w:tr>
        <w:tc>
          <w:tcPr>
            <w:tcW w:type="dxa" w:w="279"/>
          </w:tcPr>
          <w:p w14:paraId="85000000">
            <w:pPr>
              <w:widowControl w:val="1"/>
              <w:ind w:left="-120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8.</w:t>
            </w:r>
          </w:p>
        </w:tc>
        <w:tc>
          <w:tcPr>
            <w:tcW w:type="dxa" w:w="1276"/>
          </w:tcPr>
          <w:p w14:paraId="86000000">
            <w:pPr>
              <w:widowControl w:val="1"/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87000000">
            <w:pPr>
              <w:widowControl w:val="1"/>
              <w:ind w:left="-104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улица Анатолия Луначарского, дом 2</w:t>
            </w:r>
          </w:p>
        </w:tc>
        <w:tc>
          <w:tcPr>
            <w:tcW w:type="dxa" w:w="1843"/>
          </w:tcPr>
          <w:p w14:paraId="8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69:41:0010310:96</w:t>
            </w:r>
          </w:p>
          <w:p w14:paraId="8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35,1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430 000,00</w:t>
            </w:r>
          </w:p>
        </w:tc>
        <w:tc>
          <w:tcPr>
            <w:tcW w:type="dxa" w:w="1134"/>
          </w:tcPr>
          <w:p w14:paraId="8C000000">
            <w:pPr>
              <w:widowControl w:val="1"/>
              <w:ind w:left="-107" w:right="-111"/>
            </w:pPr>
            <w:r>
              <w:t>В</w:t>
            </w:r>
            <w:r>
              <w:t xml:space="preserve"> </w:t>
            </w:r>
            <w:r>
              <w:t>порядке</w:t>
            </w:r>
            <w:r>
              <w:t xml:space="preserve">, </w:t>
            </w:r>
            <w:r>
              <w:t>установленном</w:t>
            </w:r>
            <w:r>
              <w:t xml:space="preserve"> </w:t>
            </w:r>
            <w:r>
              <w:t>Федеральным</w:t>
            </w:r>
            <w:r>
              <w:t xml:space="preserve"> </w:t>
            </w:r>
            <w:r>
              <w:t>законом</w:t>
            </w:r>
            <w:r>
              <w:t xml:space="preserve">                  </w:t>
            </w:r>
            <w:r>
              <w:t>№</w:t>
            </w:r>
            <w:r>
              <w:t xml:space="preserve"> 159-</w:t>
            </w:r>
            <w:r>
              <w:t>ФЗ</w:t>
            </w:r>
          </w:p>
        </w:tc>
        <w:tc>
          <w:tcPr>
            <w:tcW w:type="dxa" w:w="842"/>
          </w:tcPr>
          <w:p/>
        </w:tc>
      </w:tr>
      <w:tr>
        <w:tc>
          <w:tcPr>
            <w:tcW w:type="dxa" w:w="279"/>
          </w:tcPr>
          <w:p w14:paraId="8D000000">
            <w:pPr>
              <w:widowControl w:val="1"/>
              <w:ind w:left="-120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9.</w:t>
            </w:r>
          </w:p>
        </w:tc>
        <w:tc>
          <w:tcPr>
            <w:tcW w:type="dxa" w:w="1276"/>
          </w:tcPr>
          <w:p w14:paraId="8E000000">
            <w:pPr>
              <w:widowControl w:val="1"/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type="dxa" w:w="1842"/>
          </w:tcPr>
          <w:p w14:paraId="8F000000">
            <w:pPr>
              <w:widowControl w:val="1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улица Чистопрудная, дом 25а, помещение 8</w:t>
            </w:r>
          </w:p>
        </w:tc>
        <w:tc>
          <w:tcPr>
            <w:tcW w:type="dxa" w:w="1843"/>
          </w:tcPr>
          <w:p w14:paraId="9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 Кадастровый номер помещения: 69:41:0010133:</w:t>
            </w:r>
            <w:r>
              <w:rPr>
                <w:rFonts w:ascii="Times New Roman" w:hAnsi="Times New Roman"/>
              </w:rPr>
              <w:t>454</w:t>
            </w:r>
          </w:p>
          <w:p w14:paraId="91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14,8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имеются </w:t>
            </w:r>
          </w:p>
        </w:tc>
        <w:tc>
          <w:tcPr>
            <w:tcW w:type="dxa" w:w="1134"/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220 000,00</w:t>
            </w:r>
          </w:p>
        </w:tc>
        <w:tc>
          <w:tcPr>
            <w:tcW w:type="dxa" w:w="1134"/>
          </w:tcPr>
          <w:p w14:paraId="94000000">
            <w:pPr>
              <w:widowControl w:val="1"/>
              <w:ind w:left="-107" w:right="-111"/>
            </w:pPr>
            <w:r>
              <w:rPr>
                <w:rFonts w:ascii="Times New Roman" w:hAnsi="Times New Roman"/>
              </w:rPr>
              <w:t>В порядке, установленном Федеральным законом                   № 159-ФЗ</w:t>
            </w:r>
          </w:p>
        </w:tc>
        <w:tc>
          <w:tcPr>
            <w:tcW w:type="dxa" w:w="842"/>
          </w:tcPr>
          <w:p/>
        </w:tc>
      </w:tr>
      <w:tr>
        <w:tc>
          <w:tcPr>
            <w:tcW w:type="dxa" w:w="6658"/>
            <w:gridSpan w:val="5"/>
          </w:tcPr>
          <w:p w14:paraId="9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bookmarkStart w:id="8" w:name="_Hlk196483291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3110"/>
            <w:gridSpan w:val="3"/>
          </w:tcPr>
          <w:p w14:paraId="9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0 833,33</w:t>
            </w:r>
          </w:p>
        </w:tc>
      </w:tr>
    </w:tbl>
    <w:p w14:paraId="97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  <w:bookmarkEnd w:id="8"/>
      <w:r>
        <w:rPr>
          <w:rFonts w:ascii="Times New Roman" w:hAnsi="Times New Roman"/>
          <w:sz w:val="24"/>
        </w:rPr>
        <w:t>* помещение входит в состав нежилого здания гостиницы, 2-я пол. XIX в., которое является выявленным объектом культурного наследия (приказ Комитета по охране историко-культурного наследия от 30.12.1999 № 68).</w:t>
      </w:r>
    </w:p>
    <w:p w14:paraId="98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**помещения входят в состав Ансамбля торговой площади, кон. XVIII — нач. XX вв., который является выявленным объектом культурного наследия (приказ Комитета по охране историко-культурного наследия от 30.12.1999 № 68)</w:t>
      </w:r>
      <w:r>
        <w:rPr>
          <w:rFonts w:ascii="Times New Roman" w:hAnsi="Times New Roman"/>
          <w:sz w:val="24"/>
        </w:rPr>
        <w:t>.</w:t>
      </w:r>
    </w:p>
    <w:p w14:paraId="99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</w:p>
    <w:p w14:paraId="9A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Движимое имущество</w:t>
      </w:r>
    </w:p>
    <w:tbl>
      <w:tblPr>
        <w:tblStyle w:val="Style_2"/>
        <w:tblW w:type="auto" w:w="0"/>
        <w:tblLayout w:type="fixed"/>
      </w:tblPr>
      <w:tblGrid>
        <w:gridCol w:w="279"/>
        <w:gridCol w:w="1276"/>
        <w:gridCol w:w="1842"/>
        <w:gridCol w:w="1843"/>
        <w:gridCol w:w="1418"/>
        <w:gridCol w:w="1134"/>
        <w:gridCol w:w="1134"/>
        <w:gridCol w:w="842"/>
      </w:tblGrid>
      <w:tr>
        <w:trPr>
          <w:tblHeader/>
        </w:trPr>
        <w:tc>
          <w:tcPr>
            <w:tcW w:type="dxa" w:w="279"/>
          </w:tcPr>
          <w:p w14:paraId="9B000000">
            <w:pPr>
              <w:widowControl w:val="1"/>
              <w:ind w:lef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276"/>
          </w:tcPr>
          <w:p w14:paraId="9C000000">
            <w:pPr>
              <w:widowControl w:val="1"/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ние</w:t>
            </w:r>
            <w:r>
              <w:rPr>
                <w:rFonts w:ascii="Times New Roman" w:hAnsi="Times New Roman"/>
                <w:b w:val="1"/>
              </w:rPr>
              <w:t xml:space="preserve"> объекта</w:t>
            </w:r>
          </w:p>
        </w:tc>
        <w:tc>
          <w:tcPr>
            <w:tcW w:type="dxa" w:w="1842"/>
          </w:tcPr>
          <w:p w14:paraId="9D000000">
            <w:pPr>
              <w:widowControl w:val="1"/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(местонахождение) объекта</w:t>
            </w:r>
          </w:p>
        </w:tc>
        <w:tc>
          <w:tcPr>
            <w:tcW w:type="dxa" w:w="1843"/>
          </w:tcPr>
          <w:p w14:paraId="9E000000">
            <w:pPr>
              <w:widowControl w:val="1"/>
              <w:ind w:left="-106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Индивидуализирующие характеристики объекта</w:t>
            </w:r>
          </w:p>
        </w:tc>
        <w:tc>
          <w:tcPr>
            <w:tcW w:type="dxa" w:w="1418"/>
          </w:tcPr>
          <w:p w14:paraId="9F000000">
            <w:pPr>
              <w:widowControl w:val="1"/>
              <w:ind w:left="-108" w:right="-10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Ограничения (обременения) имущества</w:t>
            </w:r>
          </w:p>
        </w:tc>
        <w:tc>
          <w:tcPr>
            <w:tcW w:type="dxa" w:w="1134"/>
          </w:tcPr>
          <w:p w14:paraId="A0000000">
            <w:pPr>
              <w:widowControl w:val="1"/>
              <w:ind w:left="-113" w:right="-11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Предполагаемая цена продажи (без НДС), руб.</w:t>
            </w:r>
          </w:p>
        </w:tc>
        <w:tc>
          <w:tcPr>
            <w:tcW w:type="dxa" w:w="1134"/>
          </w:tcPr>
          <w:p w14:paraId="A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842"/>
          </w:tcPr>
          <w:p w14:paraId="A2000000">
            <w:pPr>
              <w:widowControl w:val="1"/>
              <w:ind w:left="-113" w:righ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422"/>
        </w:trPr>
        <w:tc>
          <w:tcPr>
            <w:tcW w:type="dxa" w:w="9768"/>
            <w:gridSpan w:val="8"/>
            <w:vAlign w:val="center"/>
          </w:tcPr>
          <w:p w14:paraId="A3000000">
            <w:pPr>
              <w:widowControl w:val="1"/>
              <w:ind w:left="-22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Предполагаемый срок приватизации - 2025 год</w:t>
            </w:r>
          </w:p>
        </w:tc>
      </w:tr>
      <w:tr>
        <w:tc>
          <w:tcPr>
            <w:tcW w:type="dxa" w:w="279"/>
          </w:tcPr>
          <w:p w14:paraId="A4000000">
            <w:pPr>
              <w:widowControl w:val="1"/>
              <w:ind w:left="-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276"/>
          </w:tcPr>
          <w:p w14:paraId="A5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металлический</w:t>
            </w:r>
          </w:p>
        </w:tc>
        <w:tc>
          <w:tcPr>
            <w:tcW w:type="dxa" w:w="1842"/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деревня </w:t>
            </w:r>
            <w:r>
              <w:rPr>
                <w:rFonts w:ascii="Times New Roman" w:hAnsi="Times New Roman"/>
              </w:rPr>
              <w:t>Леушино</w:t>
            </w:r>
          </w:p>
        </w:tc>
        <w:tc>
          <w:tcPr>
            <w:tcW w:type="dxa" w:w="1843"/>
          </w:tcPr>
          <w:p w14:paraId="A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Сборно-разборный гараж</w:t>
            </w:r>
          </w:p>
          <w:p w14:paraId="A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18 м</w:t>
            </w:r>
            <w:r>
              <w:rPr>
                <w:rFonts w:ascii="Times New Roman" w:hAnsi="Times New Roman"/>
                <w:vertAlign w:val="superscript"/>
              </w:rPr>
              <w:t xml:space="preserve">2   </w:t>
            </w:r>
          </w:p>
        </w:tc>
        <w:tc>
          <w:tcPr>
            <w:tcW w:type="dxa" w:w="1418"/>
          </w:tcPr>
          <w:p w14:paraId="A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имеются</w:t>
            </w:r>
          </w:p>
        </w:tc>
        <w:tc>
          <w:tcPr>
            <w:tcW w:type="dxa" w:w="1134"/>
          </w:tcPr>
          <w:p w14:paraId="AA000000">
            <w:pPr>
              <w:widowControl w:val="1"/>
              <w:ind w:left="-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33 333,33</w:t>
            </w:r>
          </w:p>
        </w:tc>
        <w:tc>
          <w:tcPr>
            <w:tcW w:type="dxa" w:w="1134"/>
          </w:tcPr>
          <w:p w14:paraId="AB000000">
            <w:pPr>
              <w:widowControl w:val="1"/>
              <w:ind w:left="-107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имущества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посредством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публичного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предложения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842"/>
          </w:tcPr>
          <w:p w14:paraId="A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58"/>
            <w:gridSpan w:val="5"/>
          </w:tcPr>
          <w:p w14:paraId="AD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3110"/>
            <w:gridSpan w:val="3"/>
          </w:tcPr>
          <w:p w14:paraId="A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33 333,33</w:t>
            </w:r>
          </w:p>
        </w:tc>
      </w:tr>
    </w:tbl>
    <w:p w14:paraId="AF000000">
      <w:pPr>
        <w:widowControl w:val="1"/>
        <w:ind w:firstLine="708"/>
        <w:jc w:val="both"/>
        <w:outlineLvl w:val="0"/>
        <w:rPr>
          <w:rFonts w:ascii="Times New Roman" w:hAnsi="Times New Roman"/>
          <w:sz w:val="24"/>
        </w:rPr>
      </w:pPr>
    </w:p>
    <w:p w14:paraId="B0000000">
      <w:pPr>
        <w:widowControl w:val="1"/>
        <w:ind/>
        <w:jc w:val="center"/>
        <w:outlineLvl w:val="0"/>
        <w:rPr>
          <w:rFonts w:ascii="Times New Roman" w:hAnsi="Times New Roman"/>
          <w:b w:val="1"/>
          <w:sz w:val="28"/>
        </w:rPr>
      </w:pPr>
      <w:bookmarkStart w:id="9" w:name="_Hlk185578237"/>
      <w:bookmarkEnd w:id="2"/>
      <w:r>
        <w:rPr>
          <w:rFonts w:ascii="Times New Roman" w:hAnsi="Times New Roman"/>
          <w:b w:val="1"/>
          <w:sz w:val="28"/>
        </w:rPr>
        <w:t>Перечень долей в уставном капитале акционерного общества, находящихся в муниципальной собственности</w:t>
      </w:r>
      <w:bookmarkEnd w:id="9"/>
      <w:r>
        <w:rPr>
          <w:rFonts w:ascii="Times New Roman" w:hAnsi="Times New Roman"/>
          <w:b w:val="1"/>
          <w:sz w:val="28"/>
        </w:rPr>
        <w:t>, которые планируется приватизировать в 2025 году</w:t>
      </w:r>
    </w:p>
    <w:p w14:paraId="B1000000">
      <w:pPr>
        <w:widowControl w:val="1"/>
        <w:ind/>
        <w:jc w:val="both"/>
        <w:outlineLvl w:val="0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2126"/>
        <w:gridCol w:w="1871"/>
        <w:gridCol w:w="2098"/>
        <w:gridCol w:w="1134"/>
        <w:gridCol w:w="992"/>
        <w:gridCol w:w="992"/>
      </w:tblGrid>
      <w:tr>
        <w:trPr>
          <w:trHeight w:hRule="atLeast" w:val="88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п/п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общества 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Доля в уставном капитале общества, принадлежащая муниципальному образованию </w:t>
            </w:r>
            <w:r>
              <w:rPr>
                <w:rFonts w:ascii="Times New Roman" w:hAnsi="Times New Roman"/>
                <w:b w:val="1"/>
              </w:rPr>
              <w:t>Кашинск</w:t>
            </w:r>
            <w:r>
              <w:rPr>
                <w:rFonts w:ascii="Times New Roman" w:hAnsi="Times New Roman"/>
                <w:b w:val="1"/>
              </w:rPr>
              <w:t>ий</w:t>
            </w:r>
            <w:r>
              <w:rPr>
                <w:rFonts w:ascii="Times New Roman" w:hAnsi="Times New Roman"/>
                <w:b w:val="1"/>
              </w:rPr>
              <w:t xml:space="preserve"> муниципальн</w:t>
            </w:r>
            <w:r>
              <w:rPr>
                <w:rFonts w:ascii="Times New Roman" w:hAnsi="Times New Roman"/>
                <w:b w:val="1"/>
              </w:rPr>
              <w:t>ый</w:t>
            </w:r>
            <w:r>
              <w:rPr>
                <w:rFonts w:ascii="Times New Roman" w:hAnsi="Times New Roman"/>
                <w:b w:val="1"/>
              </w:rPr>
              <w:t xml:space="preserve"> округ Тверской области 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Адрес (местонахождение) имущества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Цена продажи, руб.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rPr>
          <w:trHeight w:hRule="atLeast" w:val="132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</w:t>
            </w:r>
            <w:r>
              <w:rPr>
                <w:rFonts w:ascii="Times New Roman" w:hAnsi="Times New Roman"/>
              </w:rPr>
              <w:t>Кашинагростой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6473 акций обыкновенных бездокументарных (36,3% от уставного капитала общества (17 825шт.))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муниципальный округ, город Кашин, ул</w:t>
            </w:r>
            <w:r>
              <w:rPr>
                <w:rFonts w:ascii="Times New Roman" w:hAnsi="Times New Roman"/>
              </w:rPr>
              <w:t xml:space="preserve">ица </w:t>
            </w:r>
            <w:r>
              <w:rPr>
                <w:rFonts w:ascii="Times New Roman" w:hAnsi="Times New Roman"/>
              </w:rPr>
              <w:t>Железнодорожная, д</w:t>
            </w:r>
            <w:r>
              <w:rPr>
                <w:rFonts w:ascii="Times New Roman" w:hAnsi="Times New Roman"/>
              </w:rPr>
              <w:t xml:space="preserve">ом 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1"/>
              <w:ind w:left="-55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1 074 117,00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Аукцион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Продано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Договор купли-продажи №01/2025 от 31.03.2025 </w:t>
            </w:r>
          </w:p>
        </w:tc>
      </w:tr>
    </w:tbl>
    <w:p w14:paraId="C0000000"/>
    <w:p w14:paraId="C1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Муниципальные унитарные предприятия Кашинского городского округа Тверской области, приватизация которых планируется в 2025 году </w:t>
      </w:r>
    </w:p>
    <w:p w14:paraId="C2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21"/>
        <w:gridCol w:w="1984"/>
        <w:gridCol w:w="1985"/>
        <w:gridCol w:w="1559"/>
        <w:gridCol w:w="1843"/>
        <w:gridCol w:w="1701"/>
      </w:tblGrid>
      <w:tr>
        <w:trPr>
          <w:tblHeader/>
        </w:trPr>
        <w:tc>
          <w:tcPr>
            <w:tcW w:type="dxa" w:w="421"/>
          </w:tcPr>
          <w:p w14:paraId="C3000000">
            <w:pPr>
              <w:widowControl w:val="1"/>
              <w:ind w:left="-12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984"/>
          </w:tcPr>
          <w:p w14:paraId="C4000000">
            <w:pPr>
              <w:widowControl w:val="1"/>
              <w:ind w:left="-7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</w:t>
            </w:r>
          </w:p>
        </w:tc>
        <w:tc>
          <w:tcPr>
            <w:tcW w:type="dxa" w:w="1985"/>
          </w:tcPr>
          <w:p w14:paraId="C5000000">
            <w:pPr>
              <w:widowControl w:val="1"/>
              <w:ind w:left="-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места нахождения, ИНН организации</w:t>
            </w:r>
          </w:p>
        </w:tc>
        <w:tc>
          <w:tcPr>
            <w:tcW w:type="dxa" w:w="1559"/>
          </w:tcPr>
          <w:p w14:paraId="C6000000">
            <w:pPr>
              <w:widowControl w:val="1"/>
              <w:ind w:right="-10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 экономической деятельности</w:t>
            </w:r>
          </w:p>
        </w:tc>
        <w:tc>
          <w:tcPr>
            <w:tcW w:type="dxa" w:w="1843"/>
          </w:tcPr>
          <w:p w14:paraId="C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Способ приватизации</w:t>
            </w:r>
          </w:p>
        </w:tc>
        <w:tc>
          <w:tcPr>
            <w:tcW w:type="dxa" w:w="1701"/>
          </w:tcPr>
          <w:p w14:paraId="C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Исполнение</w:t>
            </w:r>
          </w:p>
        </w:tc>
      </w:tr>
      <w:tr>
        <w:tc>
          <w:tcPr>
            <w:tcW w:type="dxa" w:w="421"/>
          </w:tcPr>
          <w:p w14:paraId="C9000000">
            <w:pPr>
              <w:widowControl w:val="1"/>
              <w:ind w:lef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984"/>
          </w:tcPr>
          <w:p w14:paraId="CA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Кашинского городского округа Тверской области «Гостиница» </w:t>
            </w:r>
          </w:p>
        </w:tc>
        <w:tc>
          <w:tcPr>
            <w:tcW w:type="dxa" w:w="1985"/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Карла Маркса, дом 16а   </w:t>
            </w:r>
          </w:p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/>
              </w:rPr>
              <w:t>6909009668</w:t>
            </w:r>
          </w:p>
        </w:tc>
        <w:tc>
          <w:tcPr>
            <w:tcW w:type="dxa" w:w="1559"/>
          </w:tcPr>
          <w:p w14:paraId="CD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гостиниц и прочих мест для временного проживания (55.10)</w:t>
            </w:r>
          </w:p>
          <w:p w14:paraId="C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43"/>
          </w:tcPr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  <w:tc>
          <w:tcPr>
            <w:tcW w:type="dxa" w:w="1701"/>
          </w:tcPr>
          <w:p w14:paraId="D0000000">
            <w:pPr>
              <w:widowControl w:val="1"/>
              <w:ind w:left="-107"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Преобразовано в </w:t>
            </w:r>
            <w:r>
              <w:rPr>
                <w:rFonts w:ascii="Times New Roman" w:hAnsi="Times New Roman"/>
              </w:rPr>
              <w:t>общество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ограниченной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ответственностью</w:t>
            </w:r>
            <w:r>
              <w:rPr>
                <w:rFonts w:ascii="Times New Roman" w:hAnsi="Times New Roman"/>
              </w:rPr>
              <w:t xml:space="preserve"> – 09.04.2025</w:t>
            </w:r>
          </w:p>
        </w:tc>
      </w:tr>
      <w:tr>
        <w:tc>
          <w:tcPr>
            <w:tcW w:type="dxa" w:w="421"/>
          </w:tcPr>
          <w:p w14:paraId="D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984"/>
          </w:tcPr>
          <w:p w14:paraId="D2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«Надежда»</w:t>
            </w:r>
          </w:p>
        </w:tc>
        <w:tc>
          <w:tcPr>
            <w:tcW w:type="dxa" w:w="1985"/>
          </w:tcPr>
          <w:p w14:paraId="D3000000">
            <w:pPr>
              <w:widowControl w:val="1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Карла Маркса, дом 13</w:t>
            </w:r>
          </w:p>
          <w:p w14:paraId="D4000000">
            <w:pPr>
              <w:widowControl w:val="1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6909000320</w:t>
            </w:r>
          </w:p>
        </w:tc>
        <w:tc>
          <w:tcPr>
            <w:tcW w:type="dxa" w:w="1559"/>
          </w:tcPr>
          <w:p w14:paraId="D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предприятий общественного питания по прочим видам организации питания (56.29)</w:t>
            </w:r>
          </w:p>
        </w:tc>
        <w:tc>
          <w:tcPr>
            <w:tcW w:type="dxa" w:w="1843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  <w:tc>
          <w:tcPr>
            <w:tcW w:type="dxa" w:w="1701"/>
          </w:tcPr>
          <w:p w14:paraId="D7000000">
            <w:pPr>
              <w:widowControl w:val="1"/>
              <w:ind w:left="-107"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Преобразовано в </w:t>
            </w:r>
            <w:r>
              <w:rPr>
                <w:rFonts w:ascii="Times New Roman" w:hAnsi="Times New Roman"/>
              </w:rPr>
              <w:t>общество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ограниченной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ответственностью</w:t>
            </w:r>
            <w:r>
              <w:rPr>
                <w:rFonts w:ascii="Times New Roman" w:hAnsi="Times New Roman"/>
              </w:rPr>
              <w:t xml:space="preserve"> – 18.04.2025</w:t>
            </w:r>
          </w:p>
        </w:tc>
      </w:tr>
      <w:tr>
        <w:tc>
          <w:tcPr>
            <w:tcW w:type="dxa" w:w="421"/>
          </w:tcPr>
          <w:p w14:paraId="D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1984"/>
          </w:tcPr>
          <w:p w14:paraId="D9000000">
            <w:pPr>
              <w:widowControl w:val="1"/>
              <w:ind w:left="-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Кашинского городского округа Тверской области «Производственно-жилищное ремонтно-эксплуатационное управление»</w:t>
            </w:r>
          </w:p>
        </w:tc>
        <w:tc>
          <w:tcPr>
            <w:tcW w:type="dxa" w:w="1985"/>
          </w:tcPr>
          <w:p w14:paraId="DA000000">
            <w:pPr>
              <w:widowControl w:val="1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171640, Тверская область, </w:t>
            </w:r>
            <w:r>
              <w:rPr>
                <w:rFonts w:ascii="Times New Roman" w:hAnsi="Times New Roman"/>
              </w:rPr>
              <w:t>Кашинский</w:t>
            </w:r>
            <w:r>
              <w:rPr>
                <w:rFonts w:ascii="Times New Roman" w:hAnsi="Times New Roman"/>
              </w:rPr>
              <w:t xml:space="preserve"> городской округ, город Кашин, улица Анатолия 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уначарского, дом 14 </w:t>
            </w:r>
          </w:p>
          <w:p w14:paraId="DB000000">
            <w:pPr>
              <w:widowControl w:val="1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6909000168</w:t>
            </w:r>
          </w:p>
        </w:tc>
        <w:tc>
          <w:tcPr>
            <w:tcW w:type="dxa" w:w="1559"/>
          </w:tcPr>
          <w:p w14:paraId="D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эксплуатацией жилого фонда за вознаграждение или на договорной основе (68.32.1)</w:t>
            </w:r>
          </w:p>
        </w:tc>
        <w:tc>
          <w:tcPr>
            <w:tcW w:type="dxa" w:w="1843"/>
          </w:tcPr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Преобразование муниципального унитарного предприятия в общество с ограниченной ответственностью </w:t>
            </w:r>
          </w:p>
        </w:tc>
        <w:tc>
          <w:tcPr>
            <w:tcW w:type="dxa" w:w="1701"/>
          </w:tcPr>
          <w:p w14:paraId="DE000000">
            <w:pPr>
              <w:widowControl w:val="1"/>
              <w:ind w:left="-107"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Преобразовано в </w:t>
            </w:r>
            <w:r>
              <w:rPr>
                <w:rFonts w:ascii="Times New Roman" w:hAnsi="Times New Roman"/>
              </w:rPr>
              <w:t>общество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ограниченной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ответственностью</w:t>
            </w:r>
            <w:r>
              <w:rPr>
                <w:rFonts w:ascii="Times New Roman" w:hAnsi="Times New Roman"/>
              </w:rPr>
              <w:t xml:space="preserve"> – 11.04.2025</w:t>
            </w:r>
          </w:p>
        </w:tc>
      </w:tr>
    </w:tbl>
    <w:p w14:paraId="DF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/>
    </w:pPr>
    <w:rPr>
      <w:rFonts w:ascii="Tms Rmn" w:hAnsi="Tms Rmn"/>
      <w:sz w:val="20"/>
    </w:rPr>
  </w:style>
  <w:style w:default="1" w:styleId="Style_4_ch" w:type="character">
    <w:name w:val="Normal"/>
    <w:link w:val="Style_4"/>
    <w:rPr>
      <w:rFonts w:ascii="Tms Rmn" w:hAnsi="Tms Rmn"/>
      <w:sz w:val="20"/>
    </w:rPr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rFonts w:ascii="Tms Rmn" w:hAnsi="Tms Rmn"/>
      <w:color w:val="000000"/>
      <w:sz w:val="20"/>
    </w:rPr>
  </w:style>
  <w:style w:styleId="Style_6_ch" w:type="character">
    <w:name w:val="Обычный1"/>
    <w:link w:val="Style_6"/>
    <w:rPr>
      <w:rFonts w:ascii="Tms Rmn" w:hAnsi="Tms Rmn"/>
      <w:color w:val="000000"/>
      <w:sz w:val="20"/>
    </w:rPr>
  </w:style>
  <w:style w:styleId="Style_7" w:type="paragraph">
    <w:name w:val="toc 4"/>
    <w:next w:val="Style_4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Endnote"/>
    <w:link w:val="Style_11_ch"/>
    <w:pPr>
      <w:widowControl w:val="1"/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4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Balloon Text"/>
    <w:basedOn w:val="Style_4"/>
    <w:link w:val="Style_16_ch"/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1"/>
    <w:next w:val="Style_4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4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6" w:type="paragraph">
    <w:name w:val="footer"/>
    <w:basedOn w:val="Style_4"/>
    <w:link w:val="Style_26_ch"/>
    <w:pPr>
      <w:widowControl w:val="1"/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paragraph">
    <w:name w:val="Subtitle"/>
    <w:next w:val="Style_4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3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2025-04-25T05:38:00Z</dcterms:created>
  <dcterms:modified xsi:type="dcterms:W3CDTF">2025-07-22T12:52:35Z</dcterms:modified>
</cp:coreProperties>
</file>