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W w:type="auto" w:w="0"/>
        <w:tblLayout w:type="fixed"/>
      </w:tblPr>
      <w:tblGrid>
        <w:gridCol w:w="567"/>
        <w:gridCol w:w="1984"/>
        <w:gridCol w:w="4645"/>
        <w:gridCol w:w="567"/>
        <w:gridCol w:w="1984"/>
      </w:tblGrid>
      <w:tr>
        <w:trPr>
          <w:trHeight w:hRule="atLeast" w:val="2835"/>
        </w:trPr>
        <w:tc>
          <w:tcPr>
            <w:tcW w:type="dxa" w:w="9747"/>
            <w:gridSpan w:val="5"/>
          </w:tcPr>
          <w:p w14:paraId="05000000">
            <w:pPr>
              <w:widowControl w:val="1"/>
              <w:spacing w:line="288" w:lineRule="auto"/>
              <w:ind/>
              <w:jc w:val="center"/>
              <w:rPr>
                <w:rFonts w:ascii="XO Thames" w:hAnsi="XO Thames"/>
                <w:sz w:val="28"/>
              </w:rPr>
            </w:pPr>
            <w:bookmarkStart w:id="1" w:name="_Hlk534788097"/>
            <w:bookmarkEnd w:id="1"/>
            <w:r>
              <w:rPr>
                <w:rFonts w:ascii="XO Thames" w:hAnsi="XO Thames"/>
                <w:sz w:val="28"/>
              </w:rPr>
              <w:drawing>
                <wp:inline>
                  <wp:extent cx="571246" cy="724027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571246" cy="72402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6000000">
            <w:pPr>
              <w:widowControl w:val="1"/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 xml:space="preserve">АДМИНИСТРАЦИЯ КАШИНСКОГО МУНИЦИПАЛЬНОГО ОКРУГА </w:t>
            </w:r>
            <w:r>
              <w:rPr>
                <w:rFonts w:ascii="XO Thames" w:hAnsi="XO Thames"/>
                <w:b w:val="1"/>
                <w:sz w:val="28"/>
              </w:rPr>
              <w:br/>
            </w:r>
            <w:r>
              <w:rPr>
                <w:rFonts w:ascii="XO Thames" w:hAnsi="XO Thames"/>
                <w:b w:val="1"/>
                <w:sz w:val="28"/>
              </w:rPr>
              <w:t>ТВЕРСКОЙ ОБЛАСТИ</w:t>
            </w:r>
          </w:p>
          <w:p w14:paraId="07000000">
            <w:pPr>
              <w:widowControl w:val="1"/>
              <w:spacing w:before="300"/>
              <w:ind/>
              <w:jc w:val="center"/>
              <w:rPr>
                <w:rFonts w:ascii="XO Thames" w:hAnsi="XO Thames"/>
                <w:spacing w:val="60"/>
                <w:sz w:val="32"/>
              </w:rPr>
            </w:pPr>
            <w:r>
              <w:rPr>
                <w:rFonts w:ascii="XO Thames" w:hAnsi="XO Thames"/>
                <w:b w:val="1"/>
                <w:spacing w:val="60"/>
                <w:sz w:val="32"/>
              </w:rPr>
              <w:t>ПОСТАНОВЛЕНИЕ</w:t>
            </w:r>
          </w:p>
        </w:tc>
      </w:tr>
      <w:tr>
        <w:trPr>
          <w:trHeight w:hRule="atLeast" w:val="60"/>
        </w:trPr>
        <w:tc>
          <w:tcPr>
            <w:tcW w:type="dxa" w:w="567"/>
          </w:tcPr>
          <w:p w14:paraId="08000000">
            <w:pPr>
              <w:widowControl w:val="1"/>
              <w:ind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от</w:t>
            </w:r>
          </w:p>
        </w:tc>
        <w:tc>
          <w:tcPr>
            <w:tcW w:type="dxa" w:w="1984"/>
            <w:tcBorders>
              <w:bottom w:color="000000" w:sz="4" w:val="single"/>
            </w:tcBorders>
          </w:tcPr>
          <w:p w14:paraId="09000000">
            <w:pPr>
              <w:widowControl w:val="1"/>
              <w:ind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20.06.2025</w:t>
            </w:r>
          </w:p>
        </w:tc>
        <w:tc>
          <w:tcPr>
            <w:tcW w:type="dxa" w:w="4645"/>
          </w:tcPr>
          <w:p w14:paraId="0A000000">
            <w:pPr>
              <w:widowControl w:val="1"/>
              <w:ind w:left="991" w:right="1029"/>
              <w:contextualSpacing w:val="1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г. Кашин</w:t>
            </w:r>
          </w:p>
        </w:tc>
        <w:tc>
          <w:tcPr>
            <w:tcW w:type="dxa" w:w="567"/>
          </w:tcPr>
          <w:p w14:paraId="0B000000">
            <w:pPr>
              <w:widowControl w:val="1"/>
              <w:ind w:right="1479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№</w:t>
            </w:r>
          </w:p>
        </w:tc>
        <w:tc>
          <w:tcPr>
            <w:tcW w:type="dxa" w:w="1984"/>
            <w:tcBorders>
              <w:bottom w:color="000000" w:sz="4" w:val="single"/>
            </w:tcBorders>
          </w:tcPr>
          <w:p w14:paraId="0C000000">
            <w:pPr>
              <w:widowControl w:val="1"/>
              <w:ind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416</w:t>
            </w:r>
          </w:p>
        </w:tc>
      </w:tr>
    </w:tbl>
    <w:p w14:paraId="0D000000">
      <w:pPr>
        <w:widowControl w:val="1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right="5102"/>
        <w:rPr>
          <w:rFonts w:ascii="XO Thames" w:hAnsi="XO Thames"/>
          <w:sz w:val="28"/>
        </w:rPr>
      </w:pPr>
    </w:p>
    <w:p w14:paraId="0E000000">
      <w:pPr>
        <w:widowControl w:val="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 выдаче разрешения </w:t>
      </w:r>
    </w:p>
    <w:p w14:paraId="0F000000">
      <w:pPr>
        <w:widowControl w:val="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 использование объекта </w:t>
      </w:r>
    </w:p>
    <w:p w14:paraId="10000000">
      <w:pPr>
        <w:widowControl w:val="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земельных отношений</w:t>
      </w:r>
    </w:p>
    <w:p w14:paraId="11000000">
      <w:pPr>
        <w:widowControl w:val="1"/>
        <w:ind/>
        <w:jc w:val="both"/>
        <w:rPr>
          <w:rFonts w:ascii="XO Thames" w:hAnsi="XO Thames"/>
          <w:sz w:val="28"/>
        </w:rPr>
      </w:pPr>
    </w:p>
    <w:p w14:paraId="12000000">
      <w:pPr>
        <w:widowControl w:val="1"/>
        <w:ind/>
        <w:jc w:val="both"/>
        <w:rPr>
          <w:rFonts w:ascii="XO Thames" w:hAnsi="XO Thames"/>
          <w:sz w:val="28"/>
        </w:rPr>
      </w:pPr>
    </w:p>
    <w:p w14:paraId="13000000">
      <w:pPr>
        <w:widowControl w:val="1"/>
        <w:ind/>
        <w:jc w:val="both"/>
        <w:rPr>
          <w:rFonts w:ascii="XO Thames" w:hAnsi="XO Thames"/>
          <w:sz w:val="28"/>
        </w:rPr>
      </w:pPr>
    </w:p>
    <w:p w14:paraId="14000000">
      <w:pPr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Рассмотрев заявление </w:t>
      </w:r>
      <w:bookmarkStart w:id="2" w:name="_Hlk134601549"/>
      <w:r>
        <w:rPr>
          <w:rFonts w:ascii="XO Thames" w:hAnsi="XO Thames"/>
          <w:sz w:val="28"/>
        </w:rPr>
        <w:t xml:space="preserve">индивидуального предпринимателя </w:t>
      </w:r>
      <w:bookmarkEnd w:id="2"/>
      <w:r>
        <w:rPr>
          <w:rFonts w:ascii="XO Thames" w:hAnsi="XO Thames"/>
          <w:sz w:val="28"/>
        </w:rPr>
        <w:t>Буданова Александра Олеговича</w:t>
      </w:r>
      <w:bookmarkStart w:id="3" w:name="_Hlk196730386"/>
      <w:bookmarkEnd w:id="3"/>
      <w:r>
        <w:rPr>
          <w:rFonts w:ascii="XO Thames" w:hAnsi="XO Thames"/>
          <w:sz w:val="28"/>
        </w:rPr>
        <w:t xml:space="preserve"> от </w:t>
      </w:r>
      <w:r>
        <w:rPr>
          <w:rFonts w:ascii="XO Thames" w:hAnsi="XO Thames"/>
          <w:sz w:val="28"/>
        </w:rPr>
        <w:t>19</w:t>
      </w:r>
      <w:r>
        <w:rPr>
          <w:rFonts w:ascii="XO Thames" w:hAnsi="XO Thames"/>
          <w:sz w:val="28"/>
        </w:rPr>
        <w:t xml:space="preserve">.06.2025 </w:t>
      </w:r>
      <w:bookmarkStart w:id="4" w:name="_Hlk111538352"/>
      <w:bookmarkStart w:id="5" w:name="_Hlk31184013"/>
      <w:bookmarkStart w:id="6" w:name="_Hlk31186110"/>
      <w:bookmarkStart w:id="7" w:name="_Hlk49934380"/>
      <w:bookmarkStart w:id="8" w:name="_Hlk134601648"/>
      <w:bookmarkStart w:id="9" w:name="_Hlk138075503"/>
      <w:r>
        <w:rPr>
          <w:rFonts w:ascii="XO Thames" w:hAnsi="XO Thames"/>
          <w:sz w:val="28"/>
        </w:rPr>
        <w:t>о выдаче разрешения на использование объекта земельных отношений</w:t>
      </w:r>
      <w:bookmarkEnd w:id="4"/>
      <w:bookmarkEnd w:id="5"/>
      <w:bookmarkEnd w:id="6"/>
      <w:bookmarkEnd w:id="7"/>
      <w:bookmarkEnd w:id="8"/>
      <w:bookmarkEnd w:id="9"/>
      <w:r>
        <w:rPr>
          <w:rFonts w:ascii="XO Thames" w:hAnsi="XO Thames"/>
          <w:sz w:val="28"/>
        </w:rPr>
        <w:t xml:space="preserve"> (вх. № ВХ-ОО-03599</w:t>
      </w:r>
      <w:r>
        <w:rPr>
          <w:rFonts w:ascii="XO Thames" w:hAnsi="XO Thames"/>
          <w:sz w:val="28"/>
        </w:rPr>
        <w:t xml:space="preserve"> от </w:t>
      </w:r>
      <w:r>
        <w:rPr>
          <w:rFonts w:ascii="XO Thames" w:hAnsi="XO Thames"/>
          <w:sz w:val="28"/>
        </w:rPr>
        <w:t>20</w:t>
      </w:r>
      <w:r>
        <w:rPr>
          <w:rFonts w:ascii="XO Thames" w:hAnsi="XO Thames"/>
          <w:sz w:val="28"/>
        </w:rPr>
        <w:t>.06.2025)</w:t>
      </w:r>
      <w:r>
        <w:rPr>
          <w:rFonts w:ascii="XO Thames" w:hAnsi="XO Thames"/>
          <w:spacing w:val="-1"/>
          <w:sz w:val="28"/>
        </w:rPr>
        <w:t xml:space="preserve">, </w:t>
      </w:r>
      <w:r>
        <w:rPr>
          <w:rFonts w:ascii="XO Thames" w:hAnsi="XO Thames"/>
          <w:sz w:val="28"/>
        </w:rPr>
        <w:t xml:space="preserve">в соответствии с Земельным кодексом Российской Федерации, перечнем видов объектов, размещение которых может осуществляться на землях или земельных участках, находящихся в 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 03.12.2014 № 1300, Порядком и условиями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объектов, виды которых устанавливаются Правительством Российской Федерации, утвержденными постановлением Правительства Тверской области от 02.02.2016 № 33-пп, Уставом Кашинского муниципального округа Тверской области, Генеральным планом городского поселения — город Кашин Тверской области, утвержденным решением Совета депутатов городского поселения — город Кашин Тверской области от 12.04.2013 № 20, Правилами землепользования и застройки </w:t>
      </w:r>
      <w:bookmarkStart w:id="10" w:name="_Hlk134707152"/>
      <w:r>
        <w:rPr>
          <w:rFonts w:ascii="XO Thames" w:hAnsi="XO Thames"/>
          <w:sz w:val="28"/>
        </w:rPr>
        <w:t xml:space="preserve">городского поселения —  </w:t>
      </w:r>
      <w:r>
        <w:rPr>
          <w:rFonts w:ascii="XO Thames" w:hAnsi="XO Thames"/>
          <w:sz w:val="28"/>
        </w:rPr>
        <w:t>город Кашин Тверской области, утвержденными решением Совета депутатов городского поселения — город Кашин Тверской области от 12.04.2013 № 21</w:t>
      </w:r>
      <w:bookmarkEnd w:id="10"/>
      <w:r>
        <w:rPr>
          <w:rFonts w:ascii="XO Thames" w:hAnsi="XO Thames"/>
          <w:sz w:val="28"/>
        </w:rPr>
        <w:t xml:space="preserve">, с учетом письма отдела архитектуры и градостроительства Администрации Кашинского городского округа от 13.08.2024 № 66-24 и отсутствия </w:t>
      </w:r>
      <w:bookmarkStart w:id="11" w:name="OLE_LINK4"/>
      <w:bookmarkStart w:id="12" w:name="OLE_LINK5"/>
      <w:r>
        <w:rPr>
          <w:rFonts w:ascii="XO Thames" w:hAnsi="XO Thames"/>
          <w:sz w:val="28"/>
        </w:rPr>
        <w:t xml:space="preserve">существования правопритязаний в отношении объекта </w:t>
      </w:r>
      <w:bookmarkEnd w:id="11"/>
      <w:bookmarkEnd w:id="12"/>
      <w:r>
        <w:rPr>
          <w:rFonts w:ascii="XO Thames" w:hAnsi="XO Thames"/>
          <w:sz w:val="28"/>
        </w:rPr>
        <w:t xml:space="preserve">земельных отношений, Администрация Кашинского муниципального округа Тверской области </w:t>
      </w:r>
    </w:p>
    <w:p w14:paraId="15000000">
      <w:pPr>
        <w:widowControl w:val="1"/>
        <w:ind/>
        <w:jc w:val="both"/>
        <w:rPr>
          <w:rFonts w:ascii="XO Thames" w:hAnsi="XO Thames"/>
          <w:sz w:val="28"/>
        </w:rPr>
      </w:pPr>
    </w:p>
    <w:p w14:paraId="16000000">
      <w:pPr>
        <w:widowControl w:val="1"/>
        <w:ind/>
        <w:jc w:val="both"/>
        <w:rPr>
          <w:rFonts w:ascii="XO Thames" w:hAnsi="XO Thames"/>
          <w:sz w:val="28"/>
        </w:rPr>
      </w:pPr>
    </w:p>
    <w:p w14:paraId="17000000">
      <w:pPr>
        <w:widowControl w:val="1"/>
        <w:ind/>
        <w:jc w:val="both"/>
        <w:rPr>
          <w:rFonts w:ascii="XO Thames" w:hAnsi="XO Thames"/>
          <w:sz w:val="28"/>
        </w:rPr>
      </w:pPr>
    </w:p>
    <w:p w14:paraId="18000000">
      <w:pPr>
        <w:widowControl w:val="1"/>
        <w:ind/>
        <w:jc w:val="both"/>
        <w:rPr>
          <w:rFonts w:ascii="XO Thames" w:hAnsi="XO Thames"/>
          <w:sz w:val="28"/>
        </w:rPr>
      </w:pPr>
    </w:p>
    <w:p w14:paraId="19000000">
      <w:pPr>
        <w:widowControl w:val="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ПОСТАНОВЛЯЕТ:</w:t>
      </w:r>
    </w:p>
    <w:p w14:paraId="1A000000">
      <w:pPr>
        <w:widowControl w:val="1"/>
        <w:ind/>
        <w:jc w:val="both"/>
        <w:rPr>
          <w:rFonts w:ascii="XO Thames" w:hAnsi="XO Thames"/>
          <w:sz w:val="28"/>
        </w:rPr>
      </w:pPr>
    </w:p>
    <w:p w14:paraId="1B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z w:val="28"/>
        </w:rPr>
      </w:pPr>
      <w:r>
        <w:rPr>
          <w:rFonts w:ascii="XO Thames" w:hAnsi="XO Thames"/>
          <w:spacing w:val="6"/>
          <w:sz w:val="28"/>
        </w:rPr>
        <w:t xml:space="preserve">1. Выдать </w:t>
      </w:r>
      <w:r>
        <w:rPr>
          <w:rFonts w:ascii="XO Thames" w:hAnsi="XO Thames"/>
          <w:sz w:val="28"/>
        </w:rPr>
        <w:t xml:space="preserve">индивидуальному предпринимателю Буданову Александру Олеговичу (ОГРНИП: 323580000009362, ИНН: 583805936321) </w:t>
      </w:r>
      <w:r>
        <w:rPr>
          <w:rFonts w:ascii="XO Thames" w:hAnsi="XO Thames"/>
          <w:spacing w:val="2"/>
          <w:sz w:val="28"/>
        </w:rPr>
        <w:t xml:space="preserve">разрешение на использование находящегося в муниципальной собственности муниципального образования Кашинский муниципальный округ Тверской области земельного участка с кадастровым № 69:41:0010328:113, расположенного по адресу: Тверская область, Кашинский муниципальный округ, город Кашин, </w:t>
      </w:r>
      <w:r>
        <w:rPr>
          <w:rFonts w:ascii="XO Thames" w:hAnsi="XO Thames"/>
          <w:spacing w:val="2"/>
          <w:sz w:val="28"/>
        </w:rPr>
        <w:t xml:space="preserve">улица Льва Толстого </w:t>
      </w:r>
      <w:r>
        <w:rPr>
          <w:rFonts w:ascii="XO Thames" w:hAnsi="XO Thames"/>
          <w:spacing w:val="-1"/>
          <w:sz w:val="28"/>
        </w:rPr>
        <w:t xml:space="preserve">(далее также — объект земельных отношений), для (цель использования объекта земельных отношений) </w:t>
      </w:r>
      <w:r>
        <w:rPr>
          <w:rFonts w:ascii="XO Thames" w:hAnsi="XO Thames"/>
          <w:spacing w:val="2"/>
          <w:sz w:val="28"/>
        </w:rPr>
        <w:t>размещения следующих передвижных аттракционов</w:t>
      </w:r>
      <w:r>
        <w:rPr>
          <w:rFonts w:ascii="XO Thames" w:hAnsi="XO Thames"/>
          <w:spacing w:val="-1"/>
          <w:sz w:val="28"/>
        </w:rPr>
        <w:t>, для размещения которых не требуется разрешение на строительство, сроком с 24</w:t>
      </w:r>
      <w:r>
        <w:rPr>
          <w:rFonts w:ascii="XO Thames" w:hAnsi="XO Thames"/>
          <w:spacing w:val="-1"/>
          <w:sz w:val="28"/>
        </w:rPr>
        <w:t>.0</w:t>
      </w:r>
      <w:r>
        <w:rPr>
          <w:rFonts w:ascii="XO Thames" w:hAnsi="XO Thames"/>
          <w:spacing w:val="-1"/>
          <w:sz w:val="28"/>
        </w:rPr>
        <w:t>6</w:t>
      </w:r>
      <w:r>
        <w:rPr>
          <w:rFonts w:ascii="XO Thames" w:hAnsi="XO Thames"/>
          <w:spacing w:val="-1"/>
          <w:sz w:val="28"/>
        </w:rPr>
        <w:t>.2025 по 2</w:t>
      </w:r>
      <w:r>
        <w:rPr>
          <w:rFonts w:ascii="XO Thames" w:hAnsi="XO Thames"/>
          <w:spacing w:val="-1"/>
          <w:sz w:val="28"/>
        </w:rPr>
        <w:t>4</w:t>
      </w:r>
      <w:r>
        <w:rPr>
          <w:rFonts w:ascii="XO Thames" w:hAnsi="XO Thames"/>
          <w:spacing w:val="-1"/>
          <w:sz w:val="28"/>
        </w:rPr>
        <w:t>.0</w:t>
      </w:r>
      <w:r>
        <w:rPr>
          <w:rFonts w:ascii="XO Thames" w:hAnsi="XO Thames"/>
          <w:spacing w:val="-1"/>
          <w:sz w:val="28"/>
        </w:rPr>
        <w:t>6</w:t>
      </w:r>
      <w:r>
        <w:rPr>
          <w:rFonts w:ascii="XO Thames" w:hAnsi="XO Thames"/>
          <w:spacing w:val="-1"/>
          <w:sz w:val="28"/>
        </w:rPr>
        <w:t>.2025</w:t>
      </w:r>
      <w:r>
        <w:rPr>
          <w:rFonts w:ascii="XO Thames" w:hAnsi="XO Thames"/>
          <w:spacing w:val="-1"/>
          <w:sz w:val="28"/>
        </w:rPr>
        <w:t xml:space="preserve"> включительно</w:t>
      </w:r>
      <w:r>
        <w:rPr>
          <w:rFonts w:ascii="XO Thames" w:hAnsi="XO Thames"/>
          <w:spacing w:val="-1"/>
          <w:sz w:val="28"/>
        </w:rPr>
        <w:t xml:space="preserve">: </w:t>
      </w:r>
    </w:p>
    <w:p w14:paraId="1C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>1.1. карусель «Ветерок» на 12 мест (диаметр 4,02 м);</w:t>
      </w:r>
    </w:p>
    <w:p w14:paraId="1D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1.2. батут надувной с горкой «Сказка» 8×4 м; </w:t>
      </w:r>
    </w:p>
    <w:p w14:paraId="1E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>1.3. тарзанка «Кенгуру» (6</w:t>
      </w:r>
      <w:r>
        <w:rPr>
          <w:rFonts w:ascii="XO Thames" w:hAnsi="XO Thames"/>
          <w:spacing w:val="-1"/>
          <w:sz w:val="28"/>
        </w:rPr>
        <w:t>×6 м);</w:t>
      </w:r>
    </w:p>
    <w:p w14:paraId="1F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>1.4. шлем виртуальной реальности;</w:t>
      </w:r>
    </w:p>
    <w:p w14:paraId="20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>1.5. детский автотранспорт (электромобили, дрифт-байк);</w:t>
      </w:r>
    </w:p>
    <w:p w14:paraId="21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>1.6. дартс (1,3 м);</w:t>
      </w:r>
    </w:p>
    <w:p w14:paraId="22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>1.7.  батут спортивный (диаметр 3 м);</w:t>
      </w:r>
    </w:p>
    <w:p w14:paraId="23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>1.8. бассейн с шаром (диаметр 3 м).</w:t>
      </w:r>
    </w:p>
    <w:p w14:paraId="24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2. Установить, что у лица, получившего в соответствии с настоящим постановлением разрешение на использование объекта земельных отношений, в случае, если его использование привело к порче или уничтожению плодородного слоя почвы в его границах, возникает обязанность: </w:t>
      </w:r>
    </w:p>
    <w:p w14:paraId="25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2.1. привести его в состояние, пригодное для его использования в соответствии с разрешенным использованием; </w:t>
      </w:r>
    </w:p>
    <w:p w14:paraId="26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2.2. выполнить необходимые работы по его рекультивации. </w:t>
      </w:r>
    </w:p>
    <w:p w14:paraId="27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3. Действие настоящего постановления прекращается в случаях: </w:t>
      </w:r>
    </w:p>
    <w:p w14:paraId="28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3.1. истечения срока его действия, на который оно выдано; </w:t>
      </w:r>
    </w:p>
    <w:p w14:paraId="29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3.2. нарушения условий, в нем указанных; </w:t>
      </w:r>
    </w:p>
    <w:p w14:paraId="2A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3.3. получения уполномоченным органом уведомления лица, которое использует объект земельных отношений, о досрочном прекращении действия настоящего постановления; </w:t>
      </w:r>
    </w:p>
    <w:p w14:paraId="2B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3.4. предоставления земельного участка гражданину или юридическому лицу (со дня предоставления земельного участка). В этом случае, уполномоченным органом заявителю по его адресу, указанному в заявлении о выдаче разрешения на использование объекта земельных отношений, направляется уведомление о предоставлении земельного участка гражданину или юридическому лицу, в течение трех рабочих дней со дня его предоставления. </w:t>
      </w:r>
    </w:p>
    <w:p w14:paraId="2C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4. Установить, что права на использование объекта земельных отношений запрещается передавать третьим лицам. </w:t>
      </w:r>
    </w:p>
    <w:p w14:paraId="2D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5. Комитету по управлению имуществом Администрации Кашинского муниципального округа Тверской области в течение десяти рабочих дней со дня вступления в силу настоящего постановления направить его копию в федеральный орган исполнительной власти, уполномоченный на осуществление федерального государственного земельного контроля (надзора). </w:t>
      </w:r>
    </w:p>
    <w:p w14:paraId="2E000000">
      <w:pPr>
        <w:widowControl w:val="1"/>
        <w:tabs>
          <w:tab w:leader="none" w:pos="3458" w:val="left"/>
        </w:tabs>
        <w:ind w:firstLine="709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6. Установить, что настоящее постановление является разрешением на использование объекта земельных отношений на указанных в нем условиях, для размещения на нем объекта (объектов), размещение которого (которых) может осуществляться без предоставления земельного участка и установления сервитута. </w:t>
      </w:r>
    </w:p>
    <w:p w14:paraId="2F000000">
      <w:pPr>
        <w:widowControl w:val="1"/>
        <w:tabs>
          <w:tab w:leader="none" w:pos="3458" w:val="left"/>
        </w:tabs>
        <w:ind w:firstLine="709"/>
        <w:jc w:val="both"/>
        <w:rPr>
          <w:rFonts w:ascii="XO Thames" w:hAnsi="XO Thames"/>
          <w:sz w:val="28"/>
        </w:rPr>
      </w:pPr>
      <w:bookmarkStart w:id="13" w:name="_GoBack"/>
      <w:bookmarkEnd w:id="13"/>
      <w:r>
        <w:rPr>
          <w:rFonts w:ascii="XO Thames" w:hAnsi="XO Thames"/>
          <w:spacing w:val="-1"/>
          <w:sz w:val="28"/>
        </w:rPr>
        <w:t>7. </w:t>
      </w:r>
      <w:r>
        <w:rPr>
          <w:rFonts w:ascii="XO Thames" w:hAnsi="XO Thames"/>
          <w:sz w:val="28"/>
        </w:rPr>
        <w:t xml:space="preserve">Настоящее постановление вступает в силу со дня его подписания, подлежит официальному опубликованию в газете «Кашинская газета» и размещению на официальном сайте Кашинского муниципального округа Тверской области в информационно-телекоммуникационной сети «Интернет». </w:t>
      </w:r>
    </w:p>
    <w:p w14:paraId="30000000">
      <w:pPr>
        <w:widowControl w:val="1"/>
        <w:ind/>
        <w:jc w:val="both"/>
        <w:rPr>
          <w:rFonts w:ascii="XO Thames" w:hAnsi="XO Thames"/>
          <w:sz w:val="28"/>
        </w:rPr>
      </w:pPr>
    </w:p>
    <w:p w14:paraId="31000000">
      <w:pPr>
        <w:widowControl w:val="1"/>
        <w:ind/>
        <w:jc w:val="both"/>
        <w:rPr>
          <w:rFonts w:ascii="XO Thames" w:hAnsi="XO Thames"/>
          <w:sz w:val="28"/>
        </w:rPr>
      </w:pPr>
    </w:p>
    <w:p w14:paraId="32000000">
      <w:pPr>
        <w:widowControl w:val="1"/>
        <w:ind/>
        <w:jc w:val="both"/>
        <w:rPr>
          <w:rFonts w:ascii="XO Thames" w:hAnsi="XO Thames"/>
          <w:sz w:val="28"/>
        </w:rPr>
      </w:pPr>
    </w:p>
    <w:tbl>
      <w:tblPr>
        <w:tblStyle w:val="Style_2"/>
        <w:tblW w:type="auto" w:w="0"/>
        <w:tblLayout w:type="fixed"/>
      </w:tblPr>
      <w:tblGrid>
        <w:gridCol w:w="6204"/>
        <w:gridCol w:w="3650"/>
      </w:tblGrid>
      <w:tr>
        <w:tc>
          <w:tcPr>
            <w:tcW w:type="dxa" w:w="6204"/>
          </w:tcPr>
          <w:p w14:paraId="33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И.о. Главы Кашинского муниципального округа </w:t>
            </w:r>
          </w:p>
          <w:p w14:paraId="34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Тверской области </w:t>
            </w:r>
          </w:p>
        </w:tc>
        <w:tc>
          <w:tcPr>
            <w:tcW w:type="dxa" w:w="3650"/>
            <w:vAlign w:val="bottom"/>
          </w:tcPr>
          <w:p w14:paraId="35000000">
            <w:pPr>
              <w:widowControl w:val="1"/>
              <w:ind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О.В. Большакова</w:t>
            </w:r>
          </w:p>
        </w:tc>
      </w:tr>
    </w:tbl>
    <w:p w14:paraId="36000000">
      <w:pPr>
        <w:widowControl w:val="1"/>
        <w:ind w:hanging="1134" w:left="1134"/>
        <w:rPr>
          <w:rFonts w:ascii="XO Thames" w:hAnsi="XO Thames"/>
          <w:sz w:val="28"/>
        </w:rPr>
      </w:pPr>
    </w:p>
    <w:p w14:paraId="37000000">
      <w:pPr>
        <w:widowControl w:val="1"/>
        <w:ind w:left="-1134" w:right="1133"/>
        <w:rPr>
          <w:rFonts w:ascii="XO Thames" w:hAnsi="XO Thames"/>
          <w:sz w:val="28"/>
        </w:rPr>
      </w:pPr>
      <w:bookmarkStart w:id="14" w:name="_Hlk31189004"/>
      <w:bookmarkEnd w:id="14"/>
    </w:p>
    <w:sectPr>
      <w:headerReference r:id="rId1" w:type="default"/>
      <w:pgSz w:h="16838" w:orient="portrait" w:w="11906"/>
      <w:pgMar w:bottom="1134" w:footer="709" w:gutter="0" w:header="709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XO Thames" w:hAnsi="XO Thames"/>
        <w:sz w:val="24"/>
      </w:rPr>
    </w:pPr>
    <w:r>
      <w:rPr>
        <w:rFonts w:ascii="XO Thames" w:hAnsi="XO Thames"/>
        <w:sz w:val="24"/>
      </w:rPr>
      <w:fldChar w:fldCharType="begin"/>
    </w:r>
    <w:r>
      <w:rPr>
        <w:rFonts w:ascii="XO Thames" w:hAnsi="XO Thames"/>
        <w:sz w:val="24"/>
      </w:rPr>
      <w:instrText xml:space="preserve">PAGE </w:instrText>
    </w:r>
    <w:r>
      <w:rPr>
        <w:rFonts w:ascii="XO Thames" w:hAnsi="XO Thames"/>
        <w:sz w:val="24"/>
      </w:rPr>
      <w:fldChar w:fldCharType="separate"/>
    </w:r>
    <w:r>
      <w:rPr>
        <w:rFonts w:ascii="XO Thames" w:hAnsi="XO Thames"/>
        <w:sz w:val="24"/>
      </w:rPr>
      <w:t xml:space="preserve"> </w:t>
    </w:r>
    <w:r>
      <w:rPr>
        <w:rFonts w:ascii="XO Thames" w:hAnsi="XO Thames"/>
        <w:sz w:val="24"/>
      </w:rPr>
      <w:fldChar w:fldCharType="end"/>
    </w:r>
  </w:p>
  <w:p w14:paraId="02000000">
    <w:pPr>
      <w:pStyle w:val="Style_1"/>
      <w:rPr>
        <w:rFonts w:ascii="XO Thames" w:hAnsi="XO Thames"/>
        <w:sz w:val="24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1"/>
      <w:ind/>
      <w:jc w:val="center"/>
      <w:rPr>
        <w:rFonts w:ascii="XO Thames" w:hAnsi="XO Thames"/>
        <w:sz w:val="24"/>
      </w:rPr>
    </w:pPr>
    <w:r>
      <w:rPr>
        <w:rFonts w:ascii="XO Thames" w:hAnsi="XO Thames"/>
        <w:sz w:val="24"/>
      </w:rPr>
      <w:fldChar w:fldCharType="begin"/>
    </w:r>
    <w:r>
      <w:rPr>
        <w:rFonts w:ascii="XO Thames" w:hAnsi="XO Thames"/>
        <w:sz w:val="24"/>
      </w:rPr>
      <w:instrText xml:space="preserve">PAGE </w:instrText>
    </w:r>
    <w:r>
      <w:rPr>
        <w:rFonts w:ascii="XO Thames" w:hAnsi="XO Thames"/>
        <w:sz w:val="24"/>
      </w:rPr>
      <w:fldChar w:fldCharType="separate"/>
    </w:r>
    <w:r>
      <w:rPr>
        <w:rFonts w:ascii="XO Thames" w:hAnsi="XO Thames"/>
        <w:sz w:val="24"/>
      </w:rPr>
      <w:t xml:space="preserve"> </w:t>
    </w:r>
    <w:r>
      <w:rPr>
        <w:rFonts w:ascii="XO Thames" w:hAnsi="XO Thames"/>
        <w:sz w:val="24"/>
      </w:rPr>
      <w:fldChar w:fldCharType="end"/>
    </w:r>
  </w:p>
  <w:p w14:paraId="04000000">
    <w:pPr>
      <w:pStyle w:val="Style_1"/>
      <w:rPr>
        <w:rFonts w:ascii="XO Thames" w:hAnsi="XO Thames"/>
        <w:sz w:val="24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ms Rmn" w:hAnsi="Tms Rmn"/>
    </w:rPr>
  </w:style>
  <w:style w:default="1" w:styleId="Style_3_ch" w:type="character">
    <w:name w:val="Normal"/>
    <w:link w:val="Style_3"/>
    <w:rPr>
      <w:rFonts w:ascii="Tms Rmn" w:hAnsi="Tms Rmn"/>
    </w:rPr>
  </w:style>
  <w:style w:styleId="Style_4" w:type="paragraph">
    <w:name w:val="toc 2"/>
    <w:next w:val="Style_3"/>
    <w:link w:val="Style_4_ch"/>
    <w:uiPriority w:val="39"/>
    <w:pPr>
      <w:widowControl w:val="1"/>
      <w:ind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widowControl w:val="1"/>
      <w:ind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7" w:type="paragraph">
    <w:name w:val="Balloon Text"/>
    <w:basedOn w:val="Style_3"/>
    <w:link w:val="Style_7_ch"/>
    <w:rPr>
      <w:rFonts w:ascii="Tahoma" w:hAnsi="Tahoma"/>
      <w:sz w:val="16"/>
    </w:rPr>
  </w:style>
  <w:style w:styleId="Style_7_ch" w:type="character">
    <w:name w:val="Balloon Text"/>
    <w:basedOn w:val="Style_3_ch"/>
    <w:link w:val="Style_7"/>
    <w:rPr>
      <w:rFonts w:ascii="Tahoma" w:hAnsi="Tahoma"/>
      <w:sz w:val="16"/>
    </w:rPr>
  </w:style>
  <w:style w:styleId="Style_8" w:type="paragraph">
    <w:name w:val="toc 6"/>
    <w:next w:val="Style_3"/>
    <w:link w:val="Style_8_ch"/>
    <w:uiPriority w:val="39"/>
    <w:pPr>
      <w:widowControl w:val="1"/>
      <w:ind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widowControl w:val="1"/>
      <w:ind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Endnote"/>
    <w:link w:val="Style_11_ch"/>
    <w:pPr>
      <w:widowControl w:val="1"/>
      <w:ind w:firstLine="851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3"/>
    <w:link w:val="Style_12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Body Text 2"/>
    <w:basedOn w:val="Style_3"/>
    <w:link w:val="Style_13_ch"/>
    <w:pPr>
      <w:widowControl w:val="1"/>
      <w:spacing w:after="120" w:line="480" w:lineRule="auto"/>
      <w:ind/>
    </w:pPr>
    <w:rPr>
      <w:rFonts w:ascii="Times New Roman" w:hAnsi="Times New Roman"/>
      <w:sz w:val="24"/>
    </w:rPr>
  </w:style>
  <w:style w:styleId="Style_13_ch" w:type="character">
    <w:name w:val="Body Text 2"/>
    <w:basedOn w:val="Style_3_ch"/>
    <w:link w:val="Style_13"/>
    <w:rPr>
      <w:rFonts w:ascii="Times New Roman" w:hAnsi="Times New Roman"/>
      <w:sz w:val="24"/>
    </w:rPr>
  </w:style>
  <w:style w:styleId="Style_14" w:type="paragraph">
    <w:name w:val="Обычный1"/>
    <w:link w:val="Style_14_ch"/>
    <w:rPr>
      <w:rFonts w:ascii="Tms Rmn" w:hAnsi="Tms Rmn"/>
    </w:rPr>
  </w:style>
  <w:style w:styleId="Style_14_ch" w:type="character">
    <w:name w:val="Обычный1"/>
    <w:link w:val="Style_14"/>
    <w:rPr>
      <w:rFonts w:ascii="Tms Rmn" w:hAnsi="Tms Rmn"/>
    </w:rPr>
  </w:style>
  <w:style w:styleId="Style_15" w:type="paragraph">
    <w:name w:val="footer"/>
    <w:basedOn w:val="Style_3"/>
    <w:link w:val="Style_15_ch"/>
    <w:pPr>
      <w:widowControl w:val="1"/>
      <w:tabs>
        <w:tab w:leader="none" w:pos="4677" w:val="center"/>
        <w:tab w:leader="none" w:pos="9355" w:val="right"/>
      </w:tabs>
      <w:ind/>
    </w:pPr>
  </w:style>
  <w:style w:styleId="Style_15_ch" w:type="character">
    <w:name w:val="footer"/>
    <w:basedOn w:val="Style_3_ch"/>
    <w:link w:val="Style_15"/>
  </w:style>
  <w:style w:styleId="Style_16" w:type="paragraph">
    <w:name w:val="toc 3"/>
    <w:next w:val="Style_3"/>
    <w:link w:val="Style_16_ch"/>
    <w:uiPriority w:val="39"/>
    <w:pPr>
      <w:widowControl w:val="1"/>
      <w:ind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3"/>
    <w:link w:val="Style_17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basedOn w:val="Style_3"/>
    <w:next w:val="Style_3"/>
    <w:link w:val="Style_18_ch"/>
    <w:uiPriority w:val="9"/>
    <w:qFormat/>
    <w:pPr>
      <w:keepNext w:val="1"/>
      <w:widowControl w:val="1"/>
      <w:spacing w:before="120" w:line="360" w:lineRule="auto"/>
      <w:ind/>
      <w:jc w:val="center"/>
      <w:outlineLvl w:val="0"/>
    </w:pPr>
    <w:rPr>
      <w:rFonts w:ascii="Arial" w:hAnsi="Arial"/>
      <w:b w:val="1"/>
      <w:sz w:val="30"/>
    </w:rPr>
  </w:style>
  <w:style w:styleId="Style_18_ch" w:type="character">
    <w:name w:val="heading 1"/>
    <w:basedOn w:val="Style_3_ch"/>
    <w:link w:val="Style_18"/>
    <w:rPr>
      <w:rFonts w:ascii="Arial" w:hAnsi="Arial"/>
      <w:b w:val="1"/>
      <w:sz w:val="30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widowControl w:val="1"/>
      <w:ind w:firstLine="851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Гиперссылка1"/>
    <w:link w:val="Style_21_ch"/>
    <w:rPr>
      <w:color w:val="0000FF"/>
      <w:u w:val="single"/>
    </w:rPr>
  </w:style>
  <w:style w:styleId="Style_21_ch" w:type="character">
    <w:name w:val="Гиперссылка1"/>
    <w:link w:val="Style_21"/>
    <w:rPr>
      <w:color w:val="0000FF"/>
      <w:u w:val="single"/>
    </w:rPr>
  </w:style>
  <w:style w:styleId="Style_22" w:type="paragraph">
    <w:name w:val="toc 1"/>
    <w:next w:val="Style_3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widowControl w:val="1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next w:val="Style_3"/>
    <w:link w:val="Style_24_ch"/>
    <w:uiPriority w:val="39"/>
    <w:pPr>
      <w:widowControl w:val="1"/>
      <w:ind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3"/>
    <w:link w:val="Style_25_ch"/>
    <w:uiPriority w:val="39"/>
    <w:pPr>
      <w:widowControl w:val="1"/>
      <w:ind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3"/>
    <w:link w:val="Style_26_ch"/>
    <w:uiPriority w:val="39"/>
    <w:pPr>
      <w:widowControl w:val="1"/>
      <w:ind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3"/>
    <w:link w:val="Style_27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2025-05-22T10:41:00Z</dcterms:created>
  <dcterms:modified xsi:type="dcterms:W3CDTF">2025-06-26T10:55:37Z</dcterms:modified>
</cp:coreProperties>
</file>