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rPr>
          <w:rFonts w:ascii="Times New Roman" w:hAnsi="Times New Roman"/>
          <w:sz w:val="28"/>
        </w:rPr>
      </w:pPr>
      <w:r>
        <w:t xml:space="preserve">    </w:t>
      </w:r>
      <w:bookmarkStart w:id="1" w:name="_GoBack"/>
      <w:bookmarkEnd w:id="1"/>
    </w:p>
    <w:p w14:paraId="04000000">
      <w:pPr>
        <w:pStyle w:val="Style_2"/>
        <w:spacing w:after="0" w:before="0" w:line="240" w:lineRule="auto"/>
        <w:ind/>
        <w:rPr>
          <w:b w:val="0"/>
        </w:rPr>
      </w:pPr>
    </w:p>
    <w:p w14:paraId="05000000">
      <w:pPr>
        <w:pStyle w:val="Style_2"/>
        <w:spacing w:after="0" w:before="0" w:line="240" w:lineRule="auto"/>
        <w:ind/>
        <w:jc w:val="right"/>
        <w:rPr>
          <w:b w:val="0"/>
        </w:rPr>
      </w:pPr>
    </w:p>
    <w:p w14:paraId="06000000">
      <w:pPr>
        <w:pStyle w:val="Style_2"/>
        <w:spacing w:after="0" w:before="0" w:line="240" w:lineRule="auto"/>
        <w:ind/>
        <w:jc w:val="right"/>
        <w:rPr>
          <w:b w:val="0"/>
        </w:rPr>
      </w:pPr>
      <w:r>
        <w:rPr>
          <w:b w:val="0"/>
        </w:rPr>
        <w:t xml:space="preserve">Утверждена </w:t>
      </w:r>
    </w:p>
    <w:p w14:paraId="07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постановлением Администрации </w:t>
      </w:r>
    </w:p>
    <w:p w14:paraId="08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Кашинского 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</w:p>
    <w:p w14:paraId="09000000">
      <w:pPr>
        <w:spacing w:after="0"/>
        <w:ind w:firstLine="709" w:left="495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от</w:t>
      </w:r>
      <w:r>
        <w:rPr>
          <w:rFonts w:ascii="Times New Roman" w:hAnsi="Times New Roman"/>
          <w:b w:val="0"/>
          <w:sz w:val="28"/>
        </w:rPr>
        <w:t xml:space="preserve">  25.12.2024 № </w:t>
      </w:r>
      <w:r>
        <w:rPr>
          <w:rFonts w:ascii="Times New Roman" w:hAnsi="Times New Roman"/>
          <w:sz w:val="28"/>
        </w:rPr>
        <w:t>960-9</w:t>
      </w:r>
    </w:p>
    <w:p w14:paraId="0A000000">
      <w:pPr>
        <w:spacing w:after="0" w:line="240" w:lineRule="auto"/>
        <w:ind w:firstLine="709" w:left="0"/>
        <w:jc w:val="center"/>
        <w:outlineLvl w:val="0"/>
        <w:rPr>
          <w:rFonts w:ascii="Cambria" w:hAnsi="Cambria"/>
          <w:b w:val="1"/>
          <w:sz w:val="28"/>
        </w:rPr>
      </w:pPr>
    </w:p>
    <w:p w14:paraId="0B000000">
      <w:pPr>
        <w:spacing w:after="0" w:line="240" w:lineRule="auto"/>
        <w:ind w:firstLine="709" w:left="0"/>
        <w:jc w:val="center"/>
        <w:outlineLvl w:val="0"/>
        <w:rPr>
          <w:rFonts w:ascii="Cambria" w:hAnsi="Cambria"/>
          <w:b w:val="1"/>
          <w:sz w:val="28"/>
        </w:rPr>
      </w:pPr>
    </w:p>
    <w:p w14:paraId="0C000000">
      <w:pPr>
        <w:spacing w:after="0" w:line="240" w:lineRule="auto"/>
        <w:ind w:firstLine="709" w:left="0"/>
        <w:jc w:val="center"/>
        <w:outlineLvl w:val="0"/>
        <w:rPr>
          <w:rFonts w:ascii="Cambria" w:hAnsi="Cambria"/>
          <w:b w:val="1"/>
          <w:sz w:val="28"/>
        </w:rPr>
      </w:pPr>
    </w:p>
    <w:p w14:paraId="0D000000">
      <w:pPr>
        <w:spacing w:after="0" w:line="240" w:lineRule="auto"/>
        <w:ind w:firstLine="709" w:left="0"/>
        <w:jc w:val="center"/>
        <w:outlineLvl w:val="0"/>
        <w:rPr>
          <w:rFonts w:ascii="Cambria" w:hAnsi="Cambria"/>
          <w:b w:val="1"/>
          <w:sz w:val="28"/>
        </w:rPr>
      </w:pPr>
    </w:p>
    <w:p w14:paraId="0E000000">
      <w:pPr>
        <w:spacing w:after="0" w:line="240" w:lineRule="auto"/>
        <w:ind/>
        <w:outlineLvl w:val="0"/>
        <w:rPr>
          <w:rFonts w:ascii="Cambria" w:hAnsi="Cambria"/>
          <w:b w:val="1"/>
          <w:sz w:val="28"/>
        </w:rPr>
      </w:pPr>
    </w:p>
    <w:p w14:paraId="0F000000">
      <w:pPr>
        <w:spacing w:after="0" w:line="240" w:lineRule="auto"/>
        <w:ind/>
        <w:outlineLvl w:val="0"/>
        <w:rPr>
          <w:rFonts w:ascii="Cambria" w:hAnsi="Cambria"/>
          <w:b w:val="1"/>
          <w:sz w:val="28"/>
        </w:rPr>
      </w:pPr>
    </w:p>
    <w:p w14:paraId="10000000">
      <w:pPr>
        <w:spacing w:after="0" w:line="240" w:lineRule="auto"/>
        <w:ind/>
        <w:jc w:val="center"/>
        <w:outlineLvl w:val="0"/>
        <w:rPr>
          <w:rFonts w:ascii="Cambria" w:hAnsi="Cambria"/>
          <w:b w:val="1"/>
          <w:sz w:val="28"/>
        </w:rPr>
      </w:pPr>
    </w:p>
    <w:p w14:paraId="11000000">
      <w:pPr>
        <w:spacing w:after="0" w:line="240" w:lineRule="auto"/>
        <w:ind/>
        <w:jc w:val="center"/>
        <w:outlineLvl w:val="0"/>
        <w:rPr>
          <w:rFonts w:ascii="Times New Roman" w:hAnsi="Times New Roman"/>
          <w:b w:val="1"/>
          <w:caps w:val="1"/>
          <w:sz w:val="44"/>
        </w:rPr>
      </w:pPr>
      <w:r>
        <w:rPr>
          <w:rFonts w:ascii="Times New Roman" w:hAnsi="Times New Roman"/>
          <w:b w:val="1"/>
          <w:caps w:val="1"/>
          <w:sz w:val="44"/>
        </w:rPr>
        <w:t>Муниципальная программа</w:t>
      </w:r>
    </w:p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13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36"/>
        </w:rPr>
      </w:pPr>
      <w:r>
        <w:rPr>
          <w:rFonts w:ascii="Times New Roman" w:hAnsi="Times New Roman"/>
          <w:b w:val="1"/>
          <w:i w:val="1"/>
          <w:sz w:val="36"/>
        </w:rPr>
        <w:t xml:space="preserve">«Молодёжная политика Кашинского </w:t>
      </w:r>
      <w:r>
        <w:rPr>
          <w:rFonts w:ascii="Times New Roman" w:hAnsi="Times New Roman"/>
          <w:b w:val="1"/>
          <w:i w:val="1"/>
          <w:sz w:val="36"/>
        </w:rPr>
        <w:t>муниципального</w:t>
      </w:r>
      <w:r>
        <w:rPr>
          <w:rFonts w:ascii="Times New Roman" w:hAnsi="Times New Roman"/>
          <w:b w:val="1"/>
          <w:i w:val="1"/>
          <w:sz w:val="36"/>
        </w:rPr>
        <w:t xml:space="preserve"> округа Тверской области </w:t>
      </w:r>
    </w:p>
    <w:p w14:paraId="14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36"/>
        </w:rPr>
      </w:pPr>
      <w:r>
        <w:rPr>
          <w:rFonts w:ascii="Times New Roman" w:hAnsi="Times New Roman"/>
          <w:b w:val="1"/>
          <w:i w:val="1"/>
          <w:sz w:val="36"/>
        </w:rPr>
        <w:t>на 202</w:t>
      </w:r>
      <w:r>
        <w:rPr>
          <w:rFonts w:ascii="Times New Roman" w:hAnsi="Times New Roman"/>
          <w:b w:val="1"/>
          <w:i w:val="1"/>
          <w:sz w:val="36"/>
        </w:rPr>
        <w:t>5</w:t>
      </w:r>
      <w:r>
        <w:rPr>
          <w:rFonts w:ascii="Times New Roman" w:hAnsi="Times New Roman"/>
          <w:b w:val="1"/>
          <w:i w:val="1"/>
          <w:sz w:val="36"/>
        </w:rPr>
        <w:t>-20</w:t>
      </w:r>
      <w:r>
        <w:rPr>
          <w:rFonts w:ascii="Times New Roman" w:hAnsi="Times New Roman"/>
          <w:b w:val="1"/>
          <w:i w:val="1"/>
          <w:sz w:val="36"/>
        </w:rPr>
        <w:t>30</w:t>
      </w:r>
      <w:r>
        <w:rPr>
          <w:rFonts w:ascii="Times New Roman" w:hAnsi="Times New Roman"/>
          <w:b w:val="1"/>
          <w:i w:val="1"/>
          <w:sz w:val="36"/>
        </w:rPr>
        <w:t xml:space="preserve"> годы»</w:t>
      </w:r>
    </w:p>
    <w:p w14:paraId="15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sz w:val="28"/>
        </w:rPr>
      </w:pPr>
    </w:p>
    <w:p w14:paraId="16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 w:firstLine="709" w:left="0"/>
        <w:outlineLvl w:val="0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sz w:val="28"/>
        </w:rPr>
      </w:pPr>
    </w:p>
    <w:p w14:paraId="1C000000">
      <w:pPr>
        <w:spacing w:after="0" w:line="240" w:lineRule="auto"/>
        <w:ind/>
        <w:outlineLvl w:val="0"/>
        <w:rPr>
          <w:rFonts w:ascii="Calibri" w:hAnsi="Calibri"/>
        </w:rPr>
      </w:pPr>
    </w:p>
    <w:p w14:paraId="1D000000">
      <w:pPr>
        <w:spacing w:after="0" w:line="240" w:lineRule="auto"/>
        <w:ind/>
        <w:outlineLvl w:val="0"/>
        <w:rPr>
          <w:rFonts w:ascii="Calibri" w:hAnsi="Calibri"/>
        </w:rPr>
      </w:pPr>
    </w:p>
    <w:p w14:paraId="1E000000">
      <w:pPr>
        <w:spacing w:after="0" w:line="240" w:lineRule="auto"/>
        <w:ind/>
        <w:outlineLvl w:val="0"/>
        <w:rPr>
          <w:rFonts w:ascii="Times New Roman" w:hAnsi="Times New Roman"/>
          <w:sz w:val="28"/>
        </w:rPr>
      </w:pPr>
    </w:p>
    <w:p w14:paraId="1F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</w:p>
    <w:p w14:paraId="20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</w:p>
    <w:p w14:paraId="21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</w:p>
    <w:p w14:paraId="22000000">
      <w:pPr>
        <w:spacing w:after="0" w:line="240" w:lineRule="auto"/>
        <w:ind/>
        <w:outlineLvl w:val="0"/>
        <w:rPr>
          <w:rFonts w:ascii="Times New Roman" w:hAnsi="Times New Roman"/>
          <w:sz w:val="28"/>
        </w:rPr>
      </w:pPr>
    </w:p>
    <w:p w14:paraId="23000000">
      <w:pPr>
        <w:spacing w:after="0" w:line="240" w:lineRule="auto"/>
        <w:ind/>
        <w:outlineLvl w:val="0"/>
        <w:rPr>
          <w:rFonts w:ascii="Times New Roman" w:hAnsi="Times New Roman"/>
          <w:sz w:val="28"/>
        </w:rPr>
      </w:pPr>
    </w:p>
    <w:p w14:paraId="24000000">
      <w:pPr>
        <w:spacing w:after="0" w:line="240" w:lineRule="auto"/>
        <w:ind/>
        <w:outlineLvl w:val="0"/>
        <w:rPr>
          <w:rFonts w:ascii="Times New Roman" w:hAnsi="Times New Roman"/>
          <w:sz w:val="28"/>
        </w:rPr>
      </w:pPr>
    </w:p>
    <w:p w14:paraId="25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</w:p>
    <w:p w14:paraId="26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/>
        <w:outlineLvl w:val="0"/>
        <w:rPr>
          <w:rFonts w:ascii="Times New Roman" w:hAnsi="Times New Roman"/>
          <w:sz w:val="28"/>
        </w:rPr>
      </w:pPr>
    </w:p>
    <w:p w14:paraId="29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</w:p>
    <w:p w14:paraId="2B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</w:p>
    <w:p w14:paraId="2E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Кашин</w:t>
      </w:r>
    </w:p>
    <w:p w14:paraId="2F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</w:p>
    <w:p w14:paraId="30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aps w:val="1"/>
          <w:sz w:val="28"/>
        </w:rPr>
        <w:t>ПАСПОРТ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864"/>
        <w:gridCol w:w="1559"/>
        <w:gridCol w:w="993"/>
        <w:gridCol w:w="992"/>
        <w:gridCol w:w="992"/>
        <w:gridCol w:w="851"/>
        <w:gridCol w:w="708"/>
        <w:gridCol w:w="847"/>
        <w:gridCol w:w="236"/>
      </w:tblGrid>
      <w:tr>
        <w:trPr>
          <w:trHeight w:hRule="atLeast" w:val="147"/>
        </w:trPr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муниципальной программы</w:t>
            </w:r>
          </w:p>
        </w:tc>
        <w:tc>
          <w:tcPr>
            <w:tcW w:type="dxa" w:w="69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«Молодёжная политика Кашинского </w:t>
            </w:r>
            <w:r>
              <w:rPr>
                <w:rFonts w:ascii="Times New Roman" w:hAnsi="Times New Roman"/>
                <w:sz w:val="28"/>
              </w:rPr>
              <w:t>муниципального  округа</w:t>
            </w:r>
            <w:r>
              <w:rPr>
                <w:rFonts w:ascii="Times New Roman" w:hAnsi="Times New Roman"/>
                <w:sz w:val="28"/>
              </w:rPr>
              <w:t xml:space="preserve"> Тверской области на 2025-2030 годы» (далее – муниципальная программа)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/>
        </w:tc>
      </w:tr>
      <w:tr>
        <w:trPr>
          <w:trHeight w:hRule="atLeast" w:val="147"/>
        </w:trPr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Основание для разработки</w:t>
            </w:r>
          </w:p>
        </w:tc>
        <w:tc>
          <w:tcPr>
            <w:tcW w:type="dxa" w:w="69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14:paraId="3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Постановление Правительства Российской Федерации от 17.12.2010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      </w:r>
          </w:p>
          <w:p w14:paraId="3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Постановлением Правительства Российской Федерации от 31.05.2019 № 696 «Об утверждении государственной программы Российской Федерации </w:t>
            </w:r>
            <w:bookmarkStart w:id="2" w:name="_Hlk157759618"/>
            <w:r>
              <w:rPr>
                <w:rFonts w:ascii="Times New Roman" w:hAnsi="Times New Roman"/>
                <w:sz w:val="28"/>
              </w:rPr>
              <w:t>«Комплексное развитие сельских территорий» и о внесении изменений в некоторые акты Правительства Российской Федерации»;</w:t>
            </w:r>
            <w:bookmarkEnd w:id="2"/>
          </w:p>
          <w:p w14:paraId="3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Распоряжение Правительства Российской Федерации от 02.02.2015 № 151-р «Об утверждении Стратегии устойчивого развития сельских территорий Российской Федерации на период до 2030 года»;</w:t>
            </w:r>
          </w:p>
          <w:p w14:paraId="3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Постановление Правительства Тверской области от 03.05.2024 № 185-пп «О государственной программе Тверской области «Молодежь </w:t>
            </w:r>
            <w:r>
              <w:rPr>
                <w:rFonts w:ascii="Times New Roman" w:hAnsi="Times New Roman"/>
                <w:sz w:val="28"/>
              </w:rPr>
              <w:t>Верхневолжья</w:t>
            </w:r>
            <w:r>
              <w:rPr>
                <w:rFonts w:ascii="Times New Roman" w:hAnsi="Times New Roman"/>
                <w:sz w:val="28"/>
              </w:rPr>
              <w:t>».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/>
        </w:tc>
      </w:tr>
      <w:tr>
        <w:trPr>
          <w:trHeight w:hRule="atLeast" w:val="147"/>
        </w:trPr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spacing w:after="0" w:line="240" w:lineRule="auto"/>
              <w:ind w:hanging="8" w:left="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Администратор муниципальной программы</w:t>
            </w:r>
          </w:p>
        </w:tc>
        <w:tc>
          <w:tcPr>
            <w:tcW w:type="dxa" w:w="69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spacing w:after="0" w:line="240" w:lineRule="auto"/>
              <w:ind w:firstLine="13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Кашинского муниципального округа Тверской области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/>
        </w:tc>
      </w:tr>
      <w:tr>
        <w:trPr>
          <w:trHeight w:hRule="atLeast" w:val="1306"/>
        </w:trPr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spacing w:after="0" w:line="240" w:lineRule="auto"/>
              <w:ind w:hanging="8" w:left="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Исполнители муниципальной программы </w:t>
            </w:r>
          </w:p>
        </w:tc>
        <w:tc>
          <w:tcPr>
            <w:tcW w:type="dxa" w:w="69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spacing w:after="0" w:line="240" w:lineRule="auto"/>
              <w:ind w:firstLine="13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культуре, туризму, спорту и делам молодёжи Администрации Кашинского муниципального округа Тверской области</w:t>
            </w:r>
          </w:p>
          <w:p w14:paraId="40000000">
            <w:pPr>
              <w:spacing w:after="0" w:line="240" w:lineRule="auto"/>
              <w:ind w:firstLine="13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Администрации Кашинского муниципального округа Тверской области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/>
        </w:tc>
      </w:tr>
      <w:tr>
        <w:trPr>
          <w:trHeight w:hRule="atLeast" w:val="983"/>
        </w:trPr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spacing w:after="0" w:line="240" w:lineRule="auto"/>
              <w:ind w:hanging="8" w:left="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реализации муниципальной программы</w:t>
            </w:r>
          </w:p>
        </w:tc>
        <w:tc>
          <w:tcPr>
            <w:tcW w:type="dxa" w:w="69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spacing w:after="0" w:line="240" w:lineRule="auto"/>
              <w:ind w:firstLine="13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2025-20</w:t>
            </w:r>
            <w:r>
              <w:rPr>
                <w:rFonts w:ascii="Times New Roman" w:hAnsi="Times New Roman"/>
                <w:sz w:val="28"/>
              </w:rPr>
              <w:t>30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/>
        </w:tc>
      </w:tr>
      <w:tr>
        <w:trPr>
          <w:trHeight w:hRule="atLeast" w:val="983"/>
        </w:trPr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spacing w:after="0" w:line="240" w:lineRule="auto"/>
              <w:ind w:hanging="8" w:left="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 муниципальной программы</w:t>
            </w:r>
          </w:p>
        </w:tc>
        <w:tc>
          <w:tcPr>
            <w:tcW w:type="dxa" w:w="69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spacing w:after="0" w:line="240" w:lineRule="auto"/>
              <w:ind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обеспечение эффективной социализации и самореализации молодых граждан в Кашинском муниципальном округе Тверской области</w:t>
            </w:r>
          </w:p>
          <w:p w14:paraId="47000000">
            <w:pPr>
              <w:spacing w:after="0" w:line="240" w:lineRule="auto"/>
              <w:ind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повышение доступности улучшения жилищных условий для сельского населения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/>
        </w:tc>
      </w:tr>
      <w:tr>
        <w:trPr>
          <w:trHeight w:hRule="atLeast" w:val="2305"/>
        </w:trPr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</w:t>
            </w:r>
          </w:p>
        </w:tc>
        <w:tc>
          <w:tcPr>
            <w:tcW w:type="dxa" w:w="69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spacing w:after="0" w:line="240" w:lineRule="auto"/>
              <w:ind w:firstLine="13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1 «Молодёжь Кашинского муниципального округа Тверской области» </w:t>
            </w:r>
          </w:p>
          <w:p w14:paraId="4B000000">
            <w:pPr>
              <w:spacing w:after="0" w:line="240" w:lineRule="auto"/>
              <w:ind w:firstLine="13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2 «Содействие закреплению молодых специалистов в отрасли здравоохранение» </w:t>
            </w:r>
          </w:p>
          <w:p w14:paraId="4C000000">
            <w:pPr>
              <w:spacing w:after="0" w:line="240" w:lineRule="auto"/>
              <w:ind w:firstLine="13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3 «Содействие в обеспечении жильем молодых семей» </w:t>
            </w:r>
          </w:p>
          <w:p w14:paraId="4D000000">
            <w:pPr>
              <w:spacing w:after="0" w:line="240" w:lineRule="auto"/>
              <w:ind w:firstLine="13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4 «Улучшение жилищных условий граждан Российской Федерации, проживающих и работающих на сельских территориях».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/>
        </w:tc>
      </w:tr>
      <w:tr>
        <w:trPr>
          <w:trHeight w:hRule="atLeast" w:val="2448"/>
        </w:trPr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Ожидаемые результаты реализации муниципальной программы</w:t>
            </w:r>
          </w:p>
        </w:tc>
        <w:tc>
          <w:tcPr>
            <w:tcW w:type="dxa" w:w="69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spacing w:after="0" w:line="240" w:lineRule="auto"/>
              <w:ind w:firstLine="13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увеличение количества молодых граждан Кашинского муниципального округа Тверской области, участвующих в мероприятиях государственной молодежной политики до 6300 человек;</w:t>
            </w:r>
          </w:p>
          <w:p w14:paraId="51000000">
            <w:pPr>
              <w:spacing w:after="0" w:line="240" w:lineRule="auto"/>
              <w:ind w:firstLine="13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увеличение уровня информированности молодежи о предоставляемых в Кашинском муниципальном округе Тверской области возможностях для   саморазвития и самореализации до 95% от общего числа молодежи;</w:t>
            </w:r>
          </w:p>
          <w:p w14:paraId="5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увеличение доли граждан, работающих и проживающих в сельской местности на территории Кашинского муниципального округа Тверской области до 70%.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/>
        </w:tc>
      </w:tr>
      <w:tr>
        <w:trPr>
          <w:trHeight w:hRule="atLeast" w:val="1905"/>
        </w:trPr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type="dxa" w:w="69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spacing w:after="0" w:line="240" w:lineRule="auto"/>
              <w:ind w:firstLine="13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объем финансирования программы на 2025 – 2030 годы 4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29,0 </w:t>
            </w:r>
            <w:r>
              <w:rPr>
                <w:rFonts w:ascii="Times New Roman" w:hAnsi="Times New Roman"/>
                <w:sz w:val="28"/>
              </w:rPr>
              <w:t>тыс.руб</w:t>
            </w:r>
            <w:r>
              <w:rPr>
                <w:rFonts w:ascii="Times New Roman" w:hAnsi="Times New Roman"/>
                <w:sz w:val="28"/>
              </w:rPr>
              <w:t>., осуществляется за счет средств местного – 4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29,0 </w:t>
            </w:r>
            <w:r>
              <w:rPr>
                <w:rFonts w:ascii="Times New Roman" w:hAnsi="Times New Roman"/>
                <w:sz w:val="28"/>
              </w:rPr>
              <w:t>тыс.руб</w:t>
            </w:r>
            <w:r>
              <w:rPr>
                <w:rFonts w:ascii="Times New Roman" w:hAnsi="Times New Roman"/>
                <w:sz w:val="28"/>
              </w:rPr>
              <w:t xml:space="preserve">., областного и федерального – 0,0 </w:t>
            </w:r>
            <w:r>
              <w:rPr>
                <w:rFonts w:ascii="Times New Roman" w:hAnsi="Times New Roman"/>
                <w:sz w:val="28"/>
              </w:rPr>
              <w:t>тыс.руб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56000000">
            <w:pPr>
              <w:spacing w:after="0" w:line="240" w:lineRule="auto"/>
              <w:ind w:firstLine="709" w:left="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/>
        </w:tc>
      </w:tr>
      <w:tr>
        <w:trPr>
          <w:trHeight w:hRule="atLeast" w:val="240"/>
        </w:trPr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spacing w:after="0" w:line="240" w:lineRule="auto"/>
              <w:ind w:firstLine="0" w:left="-152" w:right="-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</w:t>
            </w:r>
          </w:p>
          <w:p w14:paraId="59000000">
            <w:pPr>
              <w:spacing w:after="0" w:line="240" w:lineRule="auto"/>
              <w:ind w:firstLine="0" w:left="-152" w:right="-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5A000000">
            <w:pPr>
              <w:spacing w:after="0" w:line="240" w:lineRule="auto"/>
              <w:ind w:firstLine="0" w:left="-152" w:right="-11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8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Годы реализации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/>
        </w:tc>
      </w:tr>
      <w:tr>
        <w:trPr>
          <w:trHeight w:hRule="atLeast" w:val="390"/>
        </w:trPr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/>
        </w:tc>
      </w:tr>
      <w:tr>
        <w:trPr>
          <w:trHeight w:hRule="atLeast" w:val="495"/>
        </w:trPr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spacing w:after="0" w:line="240" w:lineRule="auto"/>
              <w:ind w:firstLine="0" w:left="-152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/>
        </w:tc>
      </w:tr>
      <w:tr>
        <w:trPr>
          <w:trHeight w:hRule="atLeast" w:val="570"/>
        </w:trPr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spacing w:after="0" w:line="240" w:lineRule="auto"/>
              <w:ind w:firstLine="0" w:left="-152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240,0</w:t>
            </w:r>
          </w:p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240,0</w:t>
            </w:r>
          </w:p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0 ,0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/>
        </w:tc>
      </w:tr>
      <w:tr>
        <w:trPr>
          <w:trHeight w:hRule="atLeast" w:val="630"/>
        </w:trPr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spacing w:after="0" w:line="240" w:lineRule="auto"/>
              <w:ind w:firstLine="0" w:left="-152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693,0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756,0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/>
        </w:tc>
      </w:tr>
      <w:tr>
        <w:trPr>
          <w:trHeight w:hRule="atLeast" w:val="630"/>
        </w:trPr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spacing w:after="0" w:line="240" w:lineRule="auto"/>
              <w:ind w:firstLine="0" w:left="-152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/>
        </w:tc>
      </w:tr>
      <w:tr>
        <w:trPr>
          <w:trHeight w:hRule="atLeast" w:val="630"/>
        </w:trPr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spacing w:after="0" w:line="240" w:lineRule="auto"/>
              <w:ind w:firstLine="0" w:left="-152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1217,0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/>
        </w:tc>
      </w:tr>
    </w:tbl>
    <w:p w14:paraId="8F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90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 Общая характеристика сферы реализации муниципальной программы</w:t>
      </w:r>
    </w:p>
    <w:p w14:paraId="9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92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Общая характеристика сферы реализации муниципальной программы и прогноз её развития</w:t>
      </w:r>
    </w:p>
    <w:p w14:paraId="93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9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Государственную молодёжную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молодёжными организациями. Целью государственной молодёжной политики является создание условий для успешной социализации и эффективной самореализации молодёжи, развитие потенциала молодёжи и его использование в интересах инновационного развития.</w:t>
      </w:r>
    </w:p>
    <w:p w14:paraId="9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Эффективная государственная молодёжная политика - один из главных инструментов развития Тверской области, что выражается в повышении благосостояния его граждан и совершенствования общественных отношений.</w:t>
      </w:r>
    </w:p>
    <w:p w14:paraId="9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Успешное решение задач социально-экономического и культурного развития региона невозможно без активного участия молодёжи.</w:t>
      </w:r>
    </w:p>
    <w:p w14:paraId="9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Одним из приоритетов государственной молодёжной политики является решение жилищной проблемы молодых граждан Тверского региона. С этой целью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муниципальный </w:t>
      </w:r>
      <w:r>
        <w:rPr>
          <w:rFonts w:ascii="Times New Roman" w:hAnsi="Times New Roman"/>
          <w:sz w:val="28"/>
        </w:rPr>
        <w:t xml:space="preserve">округ </w:t>
      </w:r>
      <w:r>
        <w:rPr>
          <w:rFonts w:ascii="Times New Roman" w:hAnsi="Times New Roman"/>
          <w:sz w:val="28"/>
        </w:rPr>
        <w:t xml:space="preserve">Тверской области </w:t>
      </w:r>
      <w:r>
        <w:rPr>
          <w:rFonts w:ascii="Times New Roman" w:hAnsi="Times New Roman"/>
          <w:sz w:val="28"/>
        </w:rPr>
        <w:t>активно участвует в реализации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 1710. В период с 2007 по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годы </w:t>
      </w:r>
      <w:r>
        <w:rPr>
          <w:rFonts w:ascii="Times New Roman" w:hAnsi="Times New Roman"/>
          <w:sz w:val="28"/>
        </w:rPr>
        <w:t>91</w:t>
      </w:r>
      <w:r>
        <w:rPr>
          <w:rFonts w:ascii="Times New Roman" w:hAnsi="Times New Roman"/>
          <w:sz w:val="28"/>
        </w:rPr>
        <w:t xml:space="preserve"> молодая семья, проживающая в Кашинском </w:t>
      </w:r>
      <w:r>
        <w:rPr>
          <w:rFonts w:ascii="Times New Roman" w:hAnsi="Times New Roman"/>
          <w:sz w:val="28"/>
        </w:rPr>
        <w:t>муниципальном</w:t>
      </w:r>
      <w:r>
        <w:rPr>
          <w:rFonts w:ascii="Times New Roman" w:hAnsi="Times New Roman"/>
          <w:sz w:val="28"/>
        </w:rPr>
        <w:t xml:space="preserve"> округе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, улучшили свои жилищные условия.</w:t>
      </w:r>
    </w:p>
    <w:p w14:paraId="9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системы здравоохранения городского округа – это один из приоритетных и стратегических факторов улучшения </w:t>
      </w:r>
      <w:r>
        <w:rPr>
          <w:rFonts w:ascii="Times New Roman" w:hAnsi="Times New Roman"/>
          <w:sz w:val="28"/>
        </w:rPr>
        <w:t>медикодемографической</w:t>
      </w:r>
      <w:r>
        <w:rPr>
          <w:rFonts w:ascii="Times New Roman" w:hAnsi="Times New Roman"/>
          <w:sz w:val="28"/>
        </w:rPr>
        <w:t xml:space="preserve"> ситуации и состояния здоровья населения, создающего основы устойчивого социально-экономического развития Кашинского </w:t>
      </w:r>
      <w:r>
        <w:rPr>
          <w:rFonts w:ascii="Times New Roman" w:hAnsi="Times New Roman"/>
          <w:sz w:val="28"/>
        </w:rPr>
        <w:t>муниципальном округе Тверской области</w:t>
      </w:r>
      <w:r>
        <w:rPr>
          <w:rFonts w:ascii="Times New Roman" w:hAnsi="Times New Roman"/>
          <w:sz w:val="28"/>
        </w:rPr>
        <w:t xml:space="preserve">. Качественное медицинское обслуживание населения зависит от многих факторов, но главным является – наличие грамотных высококвалифицированных специалистов. Учитывая то, что с каждым годом увеличивается число специалистов предпенсионного и пенсионного возрастов, проблема кадров в сфере здравоохранения стоит очень остро. На сегодняшний день ресурсный потенциал поликлиник не может удовлетворить потребность в качественной и доступной медицинской помощи в объемах, адекватных заболеваемости населения. </w:t>
      </w:r>
    </w:p>
    <w:p w14:paraId="9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Одним из направлений в решении кадрового вопроса в учреждениях здравоохранения может стать привлечение в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муниципальный округ </w:t>
      </w:r>
      <w:r>
        <w:rPr>
          <w:rFonts w:ascii="Times New Roman" w:hAnsi="Times New Roman"/>
          <w:sz w:val="28"/>
        </w:rPr>
        <w:t xml:space="preserve">Тверской области </w:t>
      </w:r>
      <w:r>
        <w:rPr>
          <w:rFonts w:ascii="Times New Roman" w:hAnsi="Times New Roman"/>
          <w:sz w:val="28"/>
        </w:rPr>
        <w:t>талантливых и профессиональных молодых специалистов, несущих потенциал для развития отрасли здравоохранения.</w:t>
      </w:r>
    </w:p>
    <w:p w14:paraId="9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Повышения качества и уровня жизни сельского населения на основе преимуществ сельского образа жизни в целях сохранения социального и экономического потенциала, за счет привлечения молодых специалистов и улучшения жилищных условий граждан </w:t>
      </w:r>
      <w:r>
        <w:rPr>
          <w:rFonts w:ascii="Times New Roman" w:hAnsi="Times New Roman"/>
          <w:sz w:val="28"/>
          <w:highlight w:val="white"/>
        </w:rPr>
        <w:t xml:space="preserve">проживающих на сельских территориях. </w:t>
      </w:r>
    </w:p>
    <w:p w14:paraId="9B000000">
      <w:pPr>
        <w:spacing w:after="0" w:line="240" w:lineRule="auto"/>
        <w:ind w:firstLine="709" w:left="0"/>
        <w:rPr>
          <w:rFonts w:ascii="Times New Roman" w:hAnsi="Times New Roman"/>
          <w:color w:themeColor="text1" w:val="000000"/>
          <w:sz w:val="28"/>
        </w:rPr>
      </w:pPr>
    </w:p>
    <w:p w14:paraId="9C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9D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Перечень основных проблем в сфере реализации </w:t>
      </w:r>
      <w:r>
        <w:rPr>
          <w:rFonts w:ascii="Times New Roman" w:hAnsi="Times New Roman"/>
          <w:sz w:val="28"/>
        </w:rPr>
        <w:t>муниципальной программы</w:t>
      </w:r>
    </w:p>
    <w:p w14:paraId="9E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9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ходе анализа реализации молодёжной политики в Кашинском </w:t>
      </w:r>
      <w:r>
        <w:rPr>
          <w:rFonts w:ascii="Times New Roman" w:hAnsi="Times New Roman"/>
          <w:sz w:val="28"/>
        </w:rPr>
        <w:t xml:space="preserve">муниципальном округе Тверской области </w:t>
      </w:r>
      <w:r>
        <w:rPr>
          <w:rFonts w:ascii="Times New Roman" w:hAnsi="Times New Roman"/>
          <w:sz w:val="28"/>
        </w:rPr>
        <w:t>выявлены следующие основные проблемы в данной сфере:</w:t>
      </w:r>
    </w:p>
    <w:p w14:paraId="A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несоответствие жизненных установок, ценностей и моделей поведения молодых людей потребностям региона;</w:t>
      </w:r>
    </w:p>
    <w:p w14:paraId="A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социально-экономических преобразований последних десятилетий жизненные ценности, являющиеся приоритетными для многих поколений, частично утратили актуальность, а новые находятся в процессе формирования. Заметно снизилось воспитательное воздействие на молодёжь культуры, искусства и образования. Во многом утратили роль инструмента духовно-культурной политики государства и средства массовой информации.</w:t>
      </w:r>
    </w:p>
    <w:p w14:paraId="A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молодёжной среде наблюдается распространение равнодушия, жажды легкой наживы, неуважительного отношения к труду, к окружающей среде обитания, государству, «малой Родине», к ее истории и традициям.</w:t>
      </w:r>
    </w:p>
    <w:p w14:paraId="A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Часть молодёжи </w:t>
      </w:r>
      <w:r>
        <w:rPr>
          <w:rFonts w:ascii="Times New Roman" w:hAnsi="Times New Roman"/>
          <w:sz w:val="28"/>
        </w:rPr>
        <w:t>Верхневолжья</w:t>
      </w:r>
      <w:r>
        <w:rPr>
          <w:rFonts w:ascii="Times New Roman" w:hAnsi="Times New Roman"/>
          <w:sz w:val="28"/>
        </w:rPr>
        <w:t xml:space="preserve"> не связывает свое будущее с родным краем, ориентируется на карьеру в других регионах, прежде всего в Москве и Санкт-Петербурге.</w:t>
      </w:r>
    </w:p>
    <w:p w14:paraId="A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Рост охвата молодого поколения асоциальными проявлениями, числа правонарушений молодежи обостряет социальную напряженность в обществе, создает угрозу развитию гражданского общества.</w:t>
      </w:r>
    </w:p>
    <w:p w14:paraId="A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ограниченные возможности молодёжи для полноценной социализации и вовлечения в трудовую деятельность;</w:t>
      </w:r>
    </w:p>
    <w:p w14:paraId="A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Около одной трети молодых людей не в состоянии успешно адаптироваться к современной экономической ситуации и реализовать свои профессиональные устремления. Доля молодёжи среди официально зарегистрированных безработных увеличивается.</w:t>
      </w:r>
    </w:p>
    <w:p w14:paraId="A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Растет потребность в государственной поддержке занятости молодёжи.</w:t>
      </w:r>
    </w:p>
    <w:p w14:paraId="A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несоответствие имеющегося кадрового состава потребностям в Кашинском </w:t>
      </w:r>
      <w:r>
        <w:rPr>
          <w:rFonts w:ascii="Times New Roman" w:hAnsi="Times New Roman"/>
          <w:sz w:val="28"/>
        </w:rPr>
        <w:t xml:space="preserve">муниципальном округе Тверской области </w:t>
      </w:r>
      <w:r>
        <w:rPr>
          <w:rFonts w:ascii="Times New Roman" w:hAnsi="Times New Roman"/>
          <w:sz w:val="28"/>
        </w:rPr>
        <w:t xml:space="preserve">в грамотных высококвалифицированных молодых специалистах. Дефицит врачей в Кашинском </w:t>
      </w:r>
      <w:r>
        <w:rPr>
          <w:rFonts w:ascii="Times New Roman" w:hAnsi="Times New Roman"/>
          <w:sz w:val="28"/>
        </w:rPr>
        <w:t xml:space="preserve">муниципальном округе Тверской области </w:t>
      </w:r>
      <w:r>
        <w:rPr>
          <w:rFonts w:ascii="Times New Roman" w:hAnsi="Times New Roman"/>
          <w:sz w:val="28"/>
        </w:rPr>
        <w:t>составляет  50</w:t>
      </w:r>
      <w:r>
        <w:rPr>
          <w:rFonts w:ascii="Times New Roman" w:hAnsi="Times New Roman"/>
          <w:sz w:val="28"/>
        </w:rPr>
        <w:t xml:space="preserve">% от штатного расписания. С каждым годом увеличивается число специалистов </w:t>
      </w:r>
      <w:r>
        <w:rPr>
          <w:rFonts w:ascii="Times New Roman" w:hAnsi="Times New Roman"/>
          <w:sz w:val="28"/>
        </w:rPr>
        <w:t>пенсионного возраста. Отток в другие города наиболее одаренных и высококвалифицированных кадров. «Дух» незаменимости (монополизма) оставшихся специалистов ведет к снижению качества услуг.</w:t>
      </w:r>
    </w:p>
    <w:p w14:paraId="A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недостаточная обеспеченность жильем молодых семей;</w:t>
      </w:r>
    </w:p>
    <w:p w14:paraId="A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Несмотря на модернизацию и реформирование жилищно-коммунального хозяйства, проблемы, вызванные со старением жилого фонда и неразвитостью форм найма жилья, провоцируют рост цен и арендной платы за жилье. Отсутствие отдельного жилья, неудовлетворительные жилищные условия способствуют созданию психологического дискомфорта, который зачастую приводит к нестабильности семейных отношений, разводам.</w:t>
      </w:r>
    </w:p>
    <w:p w14:paraId="A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Эти процессы осложняются в молодых семьях недостаточным уровнем их материальной обеспеченности в силу низкой квалификации или сравнительно невысокой заработной платы молодежи, отсутствием у нее опыта семейной и социальной жизни.</w:t>
      </w:r>
    </w:p>
    <w:p w14:paraId="AC00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5) низкий уровень развития рынка жилья в сельской местности и доступности для сельского населения решения проблемы по улучшению жилищных условий.</w:t>
      </w:r>
    </w:p>
    <w:p w14:paraId="AD00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Что п</w:t>
      </w:r>
      <w:r>
        <w:rPr>
          <w:rFonts w:ascii="Times New Roman" w:hAnsi="Times New Roman"/>
          <w:color w:themeColor="text1" w:val="000000"/>
          <w:sz w:val="28"/>
        </w:rPr>
        <w:t>риводит к</w:t>
      </w:r>
      <w:r>
        <w:rPr>
          <w:rFonts w:ascii="Times New Roman" w:hAnsi="Times New Roman"/>
          <w:color w:themeColor="text1" w:val="000000"/>
          <w:sz w:val="28"/>
        </w:rPr>
        <w:t xml:space="preserve"> создани</w:t>
      </w:r>
      <w:r>
        <w:rPr>
          <w:rFonts w:ascii="Times New Roman" w:hAnsi="Times New Roman"/>
          <w:color w:themeColor="text1" w:val="000000"/>
          <w:sz w:val="28"/>
        </w:rPr>
        <w:t>ю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не </w:t>
      </w:r>
      <w:r>
        <w:rPr>
          <w:rFonts w:ascii="Times New Roman" w:hAnsi="Times New Roman"/>
          <w:color w:themeColor="text1" w:val="000000"/>
          <w:sz w:val="28"/>
        </w:rPr>
        <w:t xml:space="preserve">благоприятных условий для социально-экономического развития </w:t>
      </w:r>
      <w:r>
        <w:rPr>
          <w:rFonts w:ascii="Times New Roman" w:hAnsi="Times New Roman"/>
          <w:color w:themeColor="text1" w:val="000000"/>
          <w:sz w:val="28"/>
        </w:rPr>
        <w:t>сельских территорий</w:t>
      </w:r>
      <w:r>
        <w:rPr>
          <w:rFonts w:ascii="Times New Roman" w:hAnsi="Times New Roman"/>
          <w:color w:themeColor="text1" w:val="000000"/>
          <w:sz w:val="28"/>
        </w:rPr>
        <w:t xml:space="preserve">, в том числе кадрового обеспечения хозяйствующих на территории </w:t>
      </w:r>
      <w:r>
        <w:rPr>
          <w:rFonts w:ascii="Times New Roman" w:hAnsi="Times New Roman"/>
          <w:color w:themeColor="text1" w:val="000000"/>
          <w:sz w:val="28"/>
        </w:rPr>
        <w:t xml:space="preserve">Кашинского </w:t>
      </w:r>
      <w:r>
        <w:rPr>
          <w:rFonts w:ascii="Times New Roman" w:hAnsi="Times New Roman"/>
          <w:sz w:val="28"/>
        </w:rPr>
        <w:t>муниципального округа Тверской области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субъектов агропромышленного комплекса. </w:t>
      </w:r>
    </w:p>
    <w:p w14:paraId="A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A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B0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Цель муниципальной программы</w:t>
      </w:r>
    </w:p>
    <w:p w14:paraId="B1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FFC000"/>
          <w:sz w:val="28"/>
        </w:rPr>
      </w:pPr>
    </w:p>
    <w:p w14:paraId="B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 муниципальной программы – обеспечение эффективной социализации и самореализации молодых граждан в Кашинском </w:t>
      </w:r>
      <w:r>
        <w:rPr>
          <w:rFonts w:ascii="Times New Roman" w:hAnsi="Times New Roman"/>
          <w:sz w:val="28"/>
        </w:rPr>
        <w:t>муниципальном округе Тверской области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Повышение доступности улучшения жилищных условий для сельского населения</w:t>
      </w:r>
      <w:r>
        <w:rPr>
          <w:rFonts w:ascii="Times New Roman" w:hAnsi="Times New Roman"/>
          <w:sz w:val="28"/>
        </w:rPr>
        <w:t>.</w:t>
      </w:r>
    </w:p>
    <w:p w14:paraId="B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Показателями, характеризующими достижение цели муниципальной программы, являются:</w:t>
      </w:r>
    </w:p>
    <w:p w14:paraId="B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молодых граждан, принявших участие в мероприятиях государственной молодёжной политики;</w:t>
      </w:r>
    </w:p>
    <w:p w14:paraId="B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уровень информированности молодёжи о предоставляемых возможностях для саморазвития и самореализации</w:t>
      </w:r>
      <w:r>
        <w:rPr>
          <w:rFonts w:ascii="Times New Roman" w:hAnsi="Times New Roman"/>
          <w:sz w:val="28"/>
        </w:rPr>
        <w:t>;</w:t>
      </w:r>
    </w:p>
    <w:p w14:paraId="B6000000">
      <w:pPr>
        <w:tabs>
          <w:tab w:leader="none" w:pos="96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>
        <w:rPr>
          <w:rFonts w:ascii="Times New Roman" w:hAnsi="Times New Roman"/>
          <w:sz w:val="28"/>
        </w:rPr>
        <w:t xml:space="preserve"> доля граждан, работающих и проживающих в сельской местности на </w:t>
      </w:r>
      <w:r>
        <w:rPr>
          <w:rFonts w:ascii="Times New Roman" w:hAnsi="Times New Roman"/>
          <w:sz w:val="28"/>
        </w:rPr>
        <w:t>территории  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округа Тверской области</w:t>
      </w:r>
      <w:r>
        <w:rPr>
          <w:rFonts w:ascii="Times New Roman" w:hAnsi="Times New Roman"/>
          <w:sz w:val="28"/>
        </w:rPr>
        <w:t>.</w:t>
      </w:r>
    </w:p>
    <w:p w14:paraId="B7000000">
      <w:pPr>
        <w:spacing w:after="0" w:line="240" w:lineRule="auto"/>
        <w:ind w:firstLine="709" w:left="0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>Значение показателей цели муниципальной программы по годам ее реализации приведены в приложении 1 к настоящей муниципальной программе.</w:t>
      </w:r>
    </w:p>
    <w:p w14:paraId="B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цели в области молодёжной политики в рамках реализации настоящей муниципальной программы предусматривается выполнение следующих подпрограмм:</w:t>
      </w:r>
    </w:p>
    <w:p w14:paraId="B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«Молодёжь Кашинского </w:t>
      </w:r>
      <w:r>
        <w:rPr>
          <w:rFonts w:ascii="Times New Roman" w:hAnsi="Times New Roman"/>
          <w:sz w:val="28"/>
        </w:rPr>
        <w:t>муниципального округа Тверской области</w:t>
      </w:r>
      <w:r>
        <w:rPr>
          <w:rFonts w:ascii="Times New Roman" w:hAnsi="Times New Roman"/>
          <w:sz w:val="28"/>
        </w:rPr>
        <w:t>»;</w:t>
      </w:r>
    </w:p>
    <w:p w14:paraId="B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-«Содействие закреплению молодых специалистов в отрасли здравоохранение»;</w:t>
      </w:r>
    </w:p>
    <w:p w14:paraId="B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«</w:t>
      </w:r>
      <w:r>
        <w:rPr>
          <w:rFonts w:ascii="Times New Roman" w:hAnsi="Times New Roman"/>
          <w:sz w:val="28"/>
        </w:rPr>
        <w:t>Содействие в обеспечении жильем молодых семей»</w:t>
      </w:r>
      <w:r>
        <w:rPr>
          <w:rFonts w:ascii="Times New Roman" w:hAnsi="Times New Roman"/>
          <w:sz w:val="28"/>
        </w:rPr>
        <w:t>;</w:t>
      </w:r>
    </w:p>
    <w:p w14:paraId="BC00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          - </w:t>
      </w:r>
      <w:r>
        <w:rPr>
          <w:rFonts w:ascii="Times New Roman" w:hAnsi="Times New Roman"/>
          <w:color w:themeColor="text1" w:val="000000"/>
          <w:sz w:val="28"/>
        </w:rPr>
        <w:t>«</w:t>
      </w:r>
      <w:r>
        <w:rPr>
          <w:rFonts w:ascii="Times New Roman" w:hAnsi="Times New Roman"/>
          <w:sz w:val="28"/>
        </w:rPr>
        <w:t>Улучшение жилищных условий граждан Российской Федерации, проживающих и работающих на сельских территориях</w:t>
      </w:r>
      <w:r>
        <w:rPr>
          <w:rFonts w:ascii="Times New Roman" w:hAnsi="Times New Roman"/>
          <w:color w:themeColor="text1" w:val="000000"/>
          <w:sz w:val="28"/>
        </w:rPr>
        <w:t>».</w:t>
      </w:r>
    </w:p>
    <w:p w14:paraId="BD00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</w:p>
    <w:p w14:paraId="BE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3.  Подпрограмма 1 «Молодёжь Кашинского </w:t>
      </w:r>
      <w:r>
        <w:rPr>
          <w:rFonts w:ascii="Times New Roman" w:hAnsi="Times New Roman"/>
          <w:b w:val="1"/>
          <w:sz w:val="28"/>
        </w:rPr>
        <w:t>муниципального округа Тверской области</w:t>
      </w:r>
      <w:r>
        <w:rPr>
          <w:rFonts w:ascii="Times New Roman" w:hAnsi="Times New Roman"/>
          <w:b w:val="1"/>
          <w:sz w:val="28"/>
        </w:rPr>
        <w:t xml:space="preserve">» </w:t>
      </w:r>
    </w:p>
    <w:p w14:paraId="BF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C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 Задачи подпрограммы</w:t>
      </w:r>
    </w:p>
    <w:p w14:paraId="C1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C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подпрограммы 1 «Молодёжь Кашинского </w:t>
      </w:r>
      <w:r>
        <w:rPr>
          <w:rFonts w:ascii="Times New Roman" w:hAnsi="Times New Roman"/>
          <w:sz w:val="28"/>
        </w:rPr>
        <w:t>муниципального округа Тверской области</w:t>
      </w:r>
      <w:r>
        <w:rPr>
          <w:rFonts w:ascii="Times New Roman" w:hAnsi="Times New Roman"/>
          <w:sz w:val="28"/>
        </w:rPr>
        <w:t>» (далее – подпрограмма 1) связана с решением следующих задач:</w:t>
      </w:r>
    </w:p>
    <w:p w14:paraId="C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1 «Развитие молодёжного самоуправления»;</w:t>
      </w:r>
    </w:p>
    <w:p w14:paraId="C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2 «Поддержка общественно значимых проектов (программ) детских и молодёжных общественных объединений»;</w:t>
      </w:r>
    </w:p>
    <w:p w14:paraId="C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3 «Профилактика асоциальных явлений в молодёжной среде»;</w:t>
      </w:r>
    </w:p>
    <w:p w14:paraId="C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4 «Развитие материально-технической базы органов по работе с детьми и молодёжью и органов молодёжного самоуправления»;</w:t>
      </w:r>
    </w:p>
    <w:p w14:paraId="C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Задача 5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Межмуниципальное сотрудничество молодёжи Кашинского муниципального округа Тверской области</w:t>
      </w:r>
      <w:r>
        <w:rPr>
          <w:rFonts w:ascii="Times New Roman" w:hAnsi="Times New Roman"/>
          <w:sz w:val="28"/>
        </w:rPr>
        <w:t>»;</w:t>
      </w:r>
    </w:p>
    <w:p w14:paraId="C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6 «Вовлечение молодежи в добровольческую (волонтерскую) деятельность».</w:t>
      </w:r>
    </w:p>
    <w:p w14:paraId="C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7 «Содействие развитию гражданско-патриотического и духовно-нравственного воспитания молодежи».</w:t>
      </w:r>
    </w:p>
    <w:p w14:paraId="CA000000">
      <w:pPr>
        <w:tabs>
          <w:tab w:leader="none" w:pos="142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«Развитие молодёжного самоуправления» оценивается с помощью следующих показателей:</w:t>
      </w:r>
    </w:p>
    <w:p w14:paraId="CB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количество органов молодёжного самоуправления на территории Кашинского </w:t>
      </w:r>
      <w:r>
        <w:rPr>
          <w:rFonts w:ascii="Times New Roman" w:hAnsi="Times New Roman"/>
          <w:sz w:val="28"/>
        </w:rPr>
        <w:t>муниципального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C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доля молодёжи, принимающей участие в деятельности органов молодёжного самоуправления.</w:t>
      </w:r>
    </w:p>
    <w:p w14:paraId="C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«Поддержка общественно значимых проектов (программ) детских и молодёжных общественных объединений» оценивается с помощью следующих показателей:</w:t>
      </w:r>
    </w:p>
    <w:p w14:paraId="CE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реализованных общественно значимых проектов (программ) детскими и молодёжными общественными объединениями;</w:t>
      </w:r>
    </w:p>
    <w:p w14:paraId="CF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количество молодых граждан принявших участие в реализации общественно значимых проектов (программ) детских и молодёжных общественных объединений;</w:t>
      </w:r>
    </w:p>
    <w:p w14:paraId="D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«Профилактика асоциальных явлений в молодёжной среде» оценивается с помощью следующих показателей:</w:t>
      </w:r>
    </w:p>
    <w:p w14:paraId="D1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  <w:shd w:fill="FFD821" w:val="clear"/>
        </w:rPr>
      </w:pPr>
      <w:r>
        <w:rPr>
          <w:rFonts w:ascii="Times New Roman" w:hAnsi="Times New Roman"/>
          <w:sz w:val="28"/>
        </w:rPr>
        <w:t>а) к</w:t>
      </w:r>
      <w:r>
        <w:rPr>
          <w:rFonts w:ascii="Times New Roman" w:hAnsi="Times New Roman"/>
          <w:sz w:val="28"/>
        </w:rPr>
        <w:t>оличество</w:t>
      </w:r>
      <w:r>
        <w:rPr>
          <w:rFonts w:ascii="Times New Roman" w:hAnsi="Times New Roman"/>
          <w:sz w:val="28"/>
        </w:rPr>
        <w:t xml:space="preserve"> проведенных профилактических мероприятий.</w:t>
      </w:r>
    </w:p>
    <w:p w14:paraId="D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4 «Развитие материально-технической базы органов по работе с детьми и молодёжью и органов молодёжного самоуправления» оценивается с помощью следующих показателей:</w:t>
      </w:r>
    </w:p>
    <w:p w14:paraId="D3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доля расходов муниципального образования, предусмотренных в рамках муниципальной программы, направленных на развитие </w:t>
      </w:r>
      <w:r>
        <w:rPr>
          <w:rFonts w:ascii="Times New Roman" w:hAnsi="Times New Roman"/>
          <w:sz w:val="28"/>
        </w:rPr>
        <w:t>материально-технической базы органов по работе с детьми и молодёжью и органов молодёжного самоуправления</w:t>
      </w:r>
      <w:r>
        <w:rPr>
          <w:rFonts w:ascii="Times New Roman" w:hAnsi="Times New Roman"/>
          <w:sz w:val="28"/>
        </w:rPr>
        <w:t>.</w:t>
      </w:r>
    </w:p>
    <w:p w14:paraId="D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5 «Межмуниципальное сотрудничество молодёжи Кашинского </w:t>
      </w:r>
      <w:r>
        <w:rPr>
          <w:rFonts w:ascii="Times New Roman" w:hAnsi="Times New Roman"/>
          <w:sz w:val="28"/>
        </w:rPr>
        <w:t>муниципального округа Тверской области</w:t>
      </w:r>
      <w:r>
        <w:rPr>
          <w:rFonts w:ascii="Times New Roman" w:hAnsi="Times New Roman"/>
          <w:sz w:val="28"/>
        </w:rPr>
        <w:t>» оценивается с помощью следующих показателей:</w:t>
      </w:r>
    </w:p>
    <w:p w14:paraId="D5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оличество мероприятий регионального уровня, посещенных представителями Кашинского муниципального округа Тверской области</w:t>
      </w:r>
      <w:r>
        <w:rPr>
          <w:rFonts w:ascii="Times New Roman" w:hAnsi="Times New Roman"/>
          <w:sz w:val="28"/>
        </w:rPr>
        <w:t>.</w:t>
      </w:r>
    </w:p>
    <w:p w14:paraId="D6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6 «Вовлечение молодежи в добровольческую (волонтерскую) деятельность»:</w:t>
      </w:r>
    </w:p>
    <w:p w14:paraId="D7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доля молодежи, вовлеченной в добровольческую (волонтерскую) деятельность.</w:t>
      </w:r>
    </w:p>
    <w:p w14:paraId="D8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7 «Содействие развитию гражданско-патриотического и духовно-нравственного воспитания молодежи» оценивается с помощью следующих показателей:</w:t>
      </w:r>
    </w:p>
    <w:p w14:paraId="D9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проведенных мероприятий, направленных на развитие гражданско-патриотического и духовно-нравственного воспитания молодежи.</w:t>
      </w:r>
    </w:p>
    <w:p w14:paraId="D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D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D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Мероприятия подпрограммы</w:t>
      </w:r>
    </w:p>
    <w:p w14:paraId="DD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DE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«Развитие молодёжного самоуправления» осуществляется посредством выполнения следующих мероприятий:</w:t>
      </w:r>
    </w:p>
    <w:p w14:paraId="DF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мероприятие подпрограммы «Организация деятельности Молодежного </w:t>
      </w:r>
      <w:r>
        <w:rPr>
          <w:rFonts w:ascii="Times New Roman" w:hAnsi="Times New Roman"/>
          <w:sz w:val="28"/>
        </w:rPr>
        <w:t xml:space="preserve">центра при Администрации Кашинского </w:t>
      </w:r>
      <w:r>
        <w:rPr>
          <w:rFonts w:ascii="Times New Roman" w:hAnsi="Times New Roman"/>
          <w:sz w:val="28"/>
        </w:rPr>
        <w:t>муниципального округа Тверской области</w:t>
      </w:r>
      <w:r>
        <w:rPr>
          <w:rFonts w:ascii="Times New Roman" w:hAnsi="Times New Roman"/>
          <w:sz w:val="28"/>
        </w:rPr>
        <w:t>, в том числе организация и проведение мероприятий»;</w:t>
      </w:r>
    </w:p>
    <w:p w14:paraId="E0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административное мероприятие «Организация и проведение круглых </w:t>
      </w:r>
      <w:r>
        <w:rPr>
          <w:rFonts w:ascii="Times New Roman" w:hAnsi="Times New Roman"/>
          <w:sz w:val="28"/>
        </w:rPr>
        <w:t>столов по развитию молодёжного самоуправления».</w:t>
      </w:r>
    </w:p>
    <w:p w14:paraId="E1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«Поддержка общественно значимых проектов (программ) детских и молодёжных общественных объединений» осуществляется посредством выполнения следующих мероприятий:</w:t>
      </w:r>
    </w:p>
    <w:p w14:paraId="E2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мероприятие подпрограммы «Организация и проведение мероприятий </w:t>
      </w:r>
      <w:r>
        <w:rPr>
          <w:rFonts w:ascii="Times New Roman" w:hAnsi="Times New Roman"/>
          <w:sz w:val="28"/>
        </w:rPr>
        <w:t>гражданско-патриотической направленности, мероприятий, направленных на формирование здорового образа жизни»;</w:t>
      </w:r>
    </w:p>
    <w:p w14:paraId="E3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мероприятие подпрограммы «Вручение Гранта Главы Кашинского </w:t>
      </w:r>
      <w:r>
        <w:rPr>
          <w:rFonts w:ascii="Times New Roman" w:hAnsi="Times New Roman"/>
          <w:sz w:val="28"/>
        </w:rPr>
        <w:t>муниципального округа Тверской области</w:t>
      </w:r>
      <w:r>
        <w:rPr>
          <w:rFonts w:ascii="Times New Roman" w:hAnsi="Times New Roman"/>
          <w:sz w:val="28"/>
        </w:rPr>
        <w:t xml:space="preserve"> молодым и талантливым»;</w:t>
      </w:r>
    </w:p>
    <w:p w14:paraId="E4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административное мероприятие «Информирование населения о </w:t>
      </w:r>
      <w:r>
        <w:rPr>
          <w:rFonts w:ascii="Times New Roman" w:hAnsi="Times New Roman"/>
          <w:sz w:val="28"/>
        </w:rPr>
        <w:t>проведении конкурса грантов и о проводимых мероприятиях гражданско-патриотической направленности и мероприятий, направленных на формирование здорового образа жизни».</w:t>
      </w:r>
    </w:p>
    <w:p w14:paraId="E5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«Профилактика асоциальных явлений в молодёжной среде» осуществляется посредством выполнения следующих мероприятий:</w:t>
      </w:r>
    </w:p>
    <w:p w14:paraId="E6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«Организация и проведение мероприятий по профилактике асоциальных явлений»;</w:t>
      </w:r>
    </w:p>
    <w:p w14:paraId="E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административное мероприятие «Организация и проведение  </w:t>
      </w:r>
      <w:r>
        <w:rPr>
          <w:rFonts w:ascii="Times New Roman" w:hAnsi="Times New Roman"/>
          <w:sz w:val="28"/>
        </w:rPr>
        <w:t>конференций, круглых столов, совещаний по вопросам профилактики асоциальных явлений в молодёжной среде».</w:t>
      </w:r>
    </w:p>
    <w:p w14:paraId="E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4 «Развитие материально-технической базы органов по работе с детьми и молодёжью и органов молодёжного самоуправления» осуществляется посредством выполнения следующих мероприятий:</w:t>
      </w:r>
    </w:p>
    <w:p w14:paraId="E9000000">
      <w:pPr>
        <w:spacing w:after="0" w:line="240" w:lineRule="auto"/>
        <w:ind w:firstLine="57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«Приобретение одежды, оборудования, расходных материалов и прочее для нужд деятельности органов молодёжного самоуправления»;</w:t>
      </w:r>
    </w:p>
    <w:p w14:paraId="EA000000">
      <w:pPr>
        <w:spacing w:after="0" w:line="240" w:lineRule="auto"/>
        <w:ind w:firstLine="57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«Организация освещения деятельности</w:t>
      </w:r>
    </w:p>
    <w:p w14:paraId="E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органов по работе с детьми и молодёжью и органов молодёжного самоуправления в СМИ».</w:t>
      </w:r>
    </w:p>
    <w:p w14:paraId="E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5 «Межмуниципальное сотрудничество молодёжи Кашинского </w:t>
      </w:r>
      <w:r>
        <w:rPr>
          <w:rFonts w:ascii="Times New Roman" w:hAnsi="Times New Roman"/>
          <w:sz w:val="28"/>
        </w:rPr>
        <w:t>муниципального округа Тверской области</w:t>
      </w:r>
      <w:r>
        <w:rPr>
          <w:rFonts w:ascii="Times New Roman" w:hAnsi="Times New Roman"/>
          <w:sz w:val="28"/>
        </w:rPr>
        <w:t>» осуществляется посредством выполнения следующих мероприятий:</w:t>
      </w:r>
    </w:p>
    <w:p w14:paraId="ED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«Участие в областных, межрегиональных, федеральных мероприятиях»;</w:t>
      </w:r>
    </w:p>
    <w:p w14:paraId="EE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административное мероприятие «Организация освещения межмуниципального сотрудничество молодёжи Кашинского </w:t>
      </w:r>
      <w:r>
        <w:rPr>
          <w:rFonts w:ascii="Times New Roman" w:hAnsi="Times New Roman"/>
          <w:sz w:val="28"/>
        </w:rPr>
        <w:t>муниципального округа Тверской области</w:t>
      </w:r>
      <w:r>
        <w:rPr>
          <w:rFonts w:ascii="Times New Roman" w:hAnsi="Times New Roman"/>
          <w:sz w:val="28"/>
        </w:rPr>
        <w:t xml:space="preserve"> в СМИ».</w:t>
      </w:r>
    </w:p>
    <w:p w14:paraId="EF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6 «Вовлечение молодежи в добровольческую (волонтерскую) деятельность» осуществляется посредством выполнения следующих мероприятий:</w:t>
      </w:r>
    </w:p>
    <w:p w14:paraId="F0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«Организация и проведение мероприятий в сфере развития добровольческой (волонтерской) деятельности»;</w:t>
      </w:r>
    </w:p>
    <w:p w14:paraId="F1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«Информационное обеспечение добровольческой (волонтерской) деятельности молодежи»;</w:t>
      </w:r>
    </w:p>
    <w:p w14:paraId="F2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административное мероприятие «Информирование молодёжи в части безопасного поведения, действий в чрезвычайных ситуациях».</w:t>
      </w:r>
    </w:p>
    <w:p w14:paraId="F3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7 «Содействие развитию гражданско-патриотического и духовно-нравственного воспитания молодежи» осуществляется посредством выполнения следующих мероприятий:</w:t>
      </w:r>
    </w:p>
    <w:p w14:paraId="F4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t xml:space="preserve"> </w:t>
      </w:r>
      <w:r>
        <w:rPr>
          <w:rFonts w:ascii="Times New Roman" w:hAnsi="Times New Roman"/>
          <w:sz w:val="28"/>
        </w:rPr>
        <w:t xml:space="preserve">административное мероприятие </w:t>
      </w:r>
      <w:r>
        <w:t>«</w:t>
      </w:r>
      <w:r>
        <w:rPr>
          <w:rFonts w:ascii="Times New Roman" w:hAnsi="Times New Roman"/>
          <w:sz w:val="28"/>
        </w:rPr>
        <w:t>Проведение мероприятий по уборке воинских захоронений и мемориальных комплексов»,</w:t>
      </w:r>
    </w:p>
    <w:p w14:paraId="F5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«Проведение совещаний, круглых столов, направленных на формирование гражданской позиции».</w:t>
      </w:r>
    </w:p>
    <w:p w14:paraId="F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Выполнение каждого административного мероприятия и мероприятия подпрограммы 1 оценивается с помощью показателей, перечень которых и их </w:t>
      </w:r>
      <w:r>
        <w:rPr>
          <w:rFonts w:ascii="Times New Roman" w:hAnsi="Times New Roman"/>
          <w:sz w:val="28"/>
        </w:rPr>
        <w:t>значения по годам реализации приведены в приложении 1 к настоящей муниципальной программе.</w:t>
      </w:r>
    </w:p>
    <w:p w14:paraId="F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F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F9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 Объем финансовых ресурсов, необходимый для реализации подпрограммы</w:t>
      </w:r>
    </w:p>
    <w:p w14:paraId="FA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F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объем финансирования на реализацию подпрограммы 1 за счет средств местного бюджета составляет 1704,0 тыс. руб.</w:t>
      </w:r>
    </w:p>
    <w:p w14:paraId="F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F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средств на реализацию подпрограммы 1 по годам реализации муниципальной программы в разрезе задач приведен в таблице 1.</w:t>
      </w:r>
    </w:p>
    <w:p w14:paraId="FE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 1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679"/>
        <w:gridCol w:w="853"/>
        <w:gridCol w:w="706"/>
        <w:gridCol w:w="854"/>
        <w:gridCol w:w="706"/>
        <w:gridCol w:w="853"/>
        <w:gridCol w:w="710"/>
      </w:tblGrid>
      <w:tr>
        <w:trPr>
          <w:trHeight w:hRule="atLeast" w:val="761"/>
        </w:trPr>
        <w:tc>
          <w:tcPr>
            <w:tcW w:type="dxa" w:w="46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00000">
            <w:pPr>
              <w:spacing w:after="0" w:line="240" w:lineRule="auto"/>
              <w:ind w:firstLine="709" w:left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Задача подпрограммы</w:t>
            </w:r>
          </w:p>
        </w:tc>
        <w:tc>
          <w:tcPr>
            <w:tcW w:type="dxa" w:w="468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Финансовые ресурсы, необходимые для реализации подпрограммы 1  </w:t>
            </w:r>
          </w:p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(в тыс. руб.)</w:t>
            </w:r>
          </w:p>
        </w:tc>
      </w:tr>
      <w:tr>
        <w:trPr>
          <w:trHeight w:hRule="atLeast" w:val="495"/>
        </w:trPr>
        <w:tc>
          <w:tcPr>
            <w:tcW w:type="dxa" w:w="46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2025 год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2026 год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2027 год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2028 год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2029 год</w:t>
            </w:r>
          </w:p>
        </w:tc>
        <w:tc>
          <w:tcPr>
            <w:tcW w:type="dxa" w:w="710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2030 год</w:t>
            </w:r>
          </w:p>
        </w:tc>
      </w:tr>
      <w:tr>
        <w:trPr>
          <w:trHeight w:hRule="atLeast" w:val="574"/>
        </w:trPr>
        <w:tc>
          <w:tcPr>
            <w:tcW w:type="dxa" w:w="4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spacing w:after="0" w:line="240" w:lineRule="auto"/>
              <w:ind w:firstLine="53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«Развитие молодёжного самоуправления»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57,0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57,0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57,0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57,0</w:t>
            </w:r>
          </w:p>
        </w:tc>
        <w:tc>
          <w:tcPr>
            <w:tcW w:type="dxa" w:w="710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57,0</w:t>
            </w:r>
          </w:p>
        </w:tc>
      </w:tr>
      <w:tr>
        <w:trPr>
          <w:trHeight w:hRule="atLeast" w:val="761"/>
        </w:trPr>
        <w:tc>
          <w:tcPr>
            <w:tcW w:type="dxa" w:w="4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spacing w:after="0" w:line="240" w:lineRule="auto"/>
              <w:ind w:firstLine="53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«Поддержка общественно значимых проектов (программ) детских и молодёжных общественных объединений»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55,0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55,0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55,0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55,0</w:t>
            </w:r>
          </w:p>
        </w:tc>
        <w:tc>
          <w:tcPr>
            <w:tcW w:type="dxa" w:w="710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55,0</w:t>
            </w:r>
          </w:p>
        </w:tc>
      </w:tr>
      <w:tr>
        <w:trPr>
          <w:trHeight w:hRule="atLeast" w:val="669"/>
        </w:trPr>
        <w:tc>
          <w:tcPr>
            <w:tcW w:type="dxa" w:w="4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spacing w:after="0" w:line="240" w:lineRule="auto"/>
              <w:ind w:firstLine="53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 «Профилактика асоциальных явлений в молодёжной среде»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40,0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40,0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40,0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40,0</w:t>
            </w:r>
          </w:p>
        </w:tc>
        <w:tc>
          <w:tcPr>
            <w:tcW w:type="dxa" w:w="710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40,0</w:t>
            </w:r>
          </w:p>
        </w:tc>
      </w:tr>
      <w:tr>
        <w:trPr>
          <w:trHeight w:hRule="atLeast" w:val="262"/>
        </w:trPr>
        <w:tc>
          <w:tcPr>
            <w:tcW w:type="dxa" w:w="4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4 «Развитие материально-технической базы органов по работе с детьми и молодёжью и органов молодёжного самоуправления»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22,0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22,0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22,0</w:t>
            </w:r>
          </w:p>
        </w:tc>
        <w:tc>
          <w:tcPr>
            <w:tcW w:type="dxa" w:w="710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22,0</w:t>
            </w:r>
          </w:p>
        </w:tc>
      </w:tr>
      <w:tr>
        <w:trPr>
          <w:trHeight w:hRule="atLeast" w:val="761"/>
        </w:trPr>
        <w:tc>
          <w:tcPr>
            <w:tcW w:type="dxa" w:w="4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 «Межмуниципальное сотрудничество молодёжи Кашинского городского округа»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type="dxa" w:w="710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</w:tr>
      <w:tr>
        <w:trPr>
          <w:trHeight w:hRule="atLeast" w:val="891"/>
        </w:trPr>
        <w:tc>
          <w:tcPr>
            <w:tcW w:type="dxa" w:w="4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6 «Вовлечение молодежи в добровольческую (волонтерскую) деятельность»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type="dxa" w:w="710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</w:tr>
      <w:tr>
        <w:trPr>
          <w:trHeight w:hRule="atLeast" w:val="761"/>
        </w:trPr>
        <w:tc>
          <w:tcPr>
            <w:tcW w:type="dxa" w:w="4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Задача 7 «Содействие развитию гражданско-патриотического и духовно-нравственного воспитания молодежи»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E0000"/>
                <w:sz w:val="24"/>
              </w:rPr>
            </w:pPr>
            <w:r>
              <w:rPr>
                <w:rFonts w:ascii="Times New Roman" w:hAnsi="Times New Roman"/>
                <w:color w:val="1E0000"/>
                <w:sz w:val="24"/>
              </w:rPr>
              <w:t>0,0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10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353"/>
        </w:trPr>
        <w:tc>
          <w:tcPr>
            <w:tcW w:type="dxa" w:w="4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Всего, тыс. руб.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284,0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3B010000">
            <w:pPr>
              <w:spacing w:after="0" w:line="240" w:lineRule="auto"/>
              <w:ind w:right="-11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type="dxa" w:w="706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3D010000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A" w:sz="6" w:val="single"/>
            </w:tcBorders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type="dxa" w:w="710"/>
            <w:tcBorders>
              <w:top w:color="000000" w:sz="4" w:val="single"/>
              <w:left w:color="00000A" w:sz="6" w:val="single"/>
              <w:bottom w:color="000000" w:sz="4" w:val="single"/>
              <w:right w:color="000000" w:sz="4" w:val="single"/>
            </w:tcBorders>
            <w:vAlign w:val="center"/>
          </w:tcPr>
          <w:p w14:paraId="3F0100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</w:tr>
    </w:tbl>
    <w:p w14:paraId="40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101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4201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4301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 Подпрограмма 2 «Содействие закреплению молодых специалистов в отрасли здравоохранение»</w:t>
      </w:r>
    </w:p>
    <w:p w14:paraId="4401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45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 Задачи подпрограммы</w:t>
      </w:r>
    </w:p>
    <w:p w14:paraId="4601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47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2 «Содействие закреплению молодых специалистов в отрасли здравоохранение» (далее - подпрограмма 2) связана с решением следующих задач:</w:t>
      </w:r>
    </w:p>
    <w:p w14:paraId="48010000">
      <w:pPr>
        <w:tabs>
          <w:tab w:leader="none" w:pos="707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а) задача 1 «Привлечение в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муниципальный округ Тверской области </w:t>
      </w:r>
      <w:r>
        <w:rPr>
          <w:rFonts w:ascii="Times New Roman" w:hAnsi="Times New Roman"/>
          <w:sz w:val="28"/>
        </w:rPr>
        <w:t xml:space="preserve">талантливых и профессиональных молодых специалистов, несущих потенциал для развития отрасли здравоохранения»; </w:t>
      </w:r>
    </w:p>
    <w:p w14:paraId="49010000">
      <w:pPr>
        <w:tabs>
          <w:tab w:leader="none" w:pos="707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задача 2 «Содействие в решении жилищных проблем молодых специалистов в отрасли здравоохранение».</w:t>
      </w:r>
    </w:p>
    <w:p w14:paraId="4A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«Привлечение в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муниципальный округ Тверской области</w:t>
      </w:r>
      <w:r>
        <w:rPr>
          <w:rFonts w:ascii="Times New Roman" w:hAnsi="Times New Roman"/>
          <w:sz w:val="28"/>
        </w:rPr>
        <w:t xml:space="preserve"> талантливых и профессиональных молодых специалистов, несущих потенциал для развития отрасли здравоохранения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следующего показателя:</w:t>
      </w:r>
    </w:p>
    <w:p w14:paraId="4B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количество молодых специалистов, привлеченных в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муниципальный округ Тверской области </w:t>
      </w:r>
      <w:r>
        <w:rPr>
          <w:rFonts w:ascii="Times New Roman" w:hAnsi="Times New Roman"/>
          <w:sz w:val="28"/>
        </w:rPr>
        <w:t>и трудоустроившихся в отрасли здравоохранение.</w:t>
      </w:r>
    </w:p>
    <w:p w14:paraId="4C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«Содействие в решении жилищных проблем молодых специалистов в отрасли здравоохранение» оценивается с помощью следующего показателя: </w:t>
      </w:r>
    </w:p>
    <w:p w14:paraId="4D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количество молодых специалистов, которым возмещаются затраты по найму жилых помещений на период их трудовой деятельности в Кашинском </w:t>
      </w:r>
      <w:r>
        <w:rPr>
          <w:rFonts w:ascii="Times New Roman" w:hAnsi="Times New Roman"/>
          <w:sz w:val="28"/>
        </w:rPr>
        <w:t>муниципальном округе Тверской области</w:t>
      </w:r>
      <w:r>
        <w:rPr>
          <w:rFonts w:ascii="Times New Roman" w:hAnsi="Times New Roman"/>
          <w:sz w:val="28"/>
        </w:rPr>
        <w:t>.</w:t>
      </w:r>
    </w:p>
    <w:p w14:paraId="4E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показателей задач подпрограммы 2 по годам реализации приведены в приложении 1 к настоящей муниципальной программе.</w:t>
      </w:r>
    </w:p>
    <w:p w14:paraId="4F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0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 Мероприятия подпрограммы</w:t>
      </w:r>
    </w:p>
    <w:p w14:paraId="51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52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«Привлечение в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муниципальный округ Тверской области </w:t>
      </w:r>
      <w:r>
        <w:rPr>
          <w:rFonts w:ascii="Times New Roman" w:hAnsi="Times New Roman"/>
          <w:sz w:val="28"/>
        </w:rPr>
        <w:t>талантливых и профессиональных молодых специалистов, несущих потенциал для развития отрасли здравоохранения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осуществляется посредством выполнения следующих административных мероприятий подпрограммы 2:</w:t>
      </w:r>
    </w:p>
    <w:p w14:paraId="53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административное мероприятие «Формирование банка данных о наличии вакантных мест в государственных и муниципальных учреждениях здравоохранения Кашинского </w:t>
      </w:r>
      <w:r>
        <w:rPr>
          <w:rFonts w:ascii="Times New Roman" w:hAnsi="Times New Roman"/>
          <w:sz w:val="28"/>
        </w:rPr>
        <w:t>муниципального округа Тверской области</w:t>
      </w:r>
      <w:r>
        <w:rPr>
          <w:rFonts w:ascii="Times New Roman" w:hAnsi="Times New Roman"/>
          <w:sz w:val="28"/>
        </w:rPr>
        <w:t>»;</w:t>
      </w:r>
    </w:p>
    <w:p w14:paraId="54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«Размещение информации о вакансиях на студенческих биржах»;</w:t>
      </w:r>
    </w:p>
    <w:p w14:paraId="55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административное мероприятие «Посещение высших учебных заведений с целью агитации молодых специалистов к трудоустройству в Кашинском </w:t>
      </w:r>
      <w:r>
        <w:rPr>
          <w:rFonts w:ascii="Times New Roman" w:hAnsi="Times New Roman"/>
          <w:sz w:val="28"/>
        </w:rPr>
        <w:t>муниципальном округе Тверской области</w:t>
      </w:r>
      <w:r>
        <w:rPr>
          <w:rFonts w:ascii="Times New Roman" w:hAnsi="Times New Roman"/>
          <w:sz w:val="28"/>
        </w:rPr>
        <w:t>»;</w:t>
      </w:r>
    </w:p>
    <w:p w14:paraId="56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административное мероприятие «Изготовление и распространение информационного материла о Кашинском </w:t>
      </w:r>
      <w:r>
        <w:rPr>
          <w:rFonts w:ascii="Times New Roman" w:hAnsi="Times New Roman"/>
          <w:sz w:val="28"/>
        </w:rPr>
        <w:t xml:space="preserve">муниципальном округе Тверской области </w:t>
      </w:r>
      <w:r>
        <w:rPr>
          <w:rFonts w:ascii="Times New Roman" w:hAnsi="Times New Roman"/>
          <w:sz w:val="28"/>
        </w:rPr>
        <w:t xml:space="preserve">и условиях работы в государственных и муниципальных учреждениях здравоохранения Кашинского </w:t>
      </w:r>
      <w:r>
        <w:rPr>
          <w:rFonts w:ascii="Times New Roman" w:hAnsi="Times New Roman"/>
          <w:sz w:val="28"/>
        </w:rPr>
        <w:t xml:space="preserve">муниципального округа Тверской области </w:t>
      </w:r>
      <w:r>
        <w:rPr>
          <w:rFonts w:ascii="Times New Roman" w:hAnsi="Times New Roman"/>
          <w:sz w:val="28"/>
        </w:rPr>
        <w:t>среди выпускников высших учебных заведений».</w:t>
      </w:r>
    </w:p>
    <w:p w14:paraId="57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Решение задачи 2 «Содействие в решении жилищных проблем молодых специалистов в отрасли здравоохранение» осуществляется посредством выполнения следующих мероприятий подпрограммы 2:</w:t>
      </w:r>
    </w:p>
    <w:p w14:paraId="58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мероприятие подпрограммы «Возмещение молодым специалистам затрат по найму жилых помещений на период своей трудовой деятельности в Кашинском </w:t>
      </w:r>
      <w:r>
        <w:rPr>
          <w:rFonts w:ascii="Times New Roman" w:hAnsi="Times New Roman"/>
          <w:sz w:val="28"/>
        </w:rPr>
        <w:t>муниципальном округе Тверской области</w:t>
      </w:r>
      <w:r>
        <w:rPr>
          <w:rFonts w:ascii="Times New Roman" w:hAnsi="Times New Roman"/>
          <w:sz w:val="28"/>
        </w:rPr>
        <w:t>»;</w:t>
      </w:r>
    </w:p>
    <w:p w14:paraId="59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«Организация встреч и разъяснение гражданам условий подпрограммы».</w:t>
      </w:r>
    </w:p>
    <w:p w14:paraId="5A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приведены в приложении 1 к настоящей муниципальной программе.</w:t>
      </w:r>
    </w:p>
    <w:p w14:paraId="5B01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5C01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Механизм предоставления бюджетных ассигнований для выполнения мероприятий подпрограммы </w:t>
      </w:r>
    </w:p>
    <w:p w14:paraId="5D01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5E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Бюджетные ассигнования для выполнения мероприятия «Возмещение молодым специалистам затрат по найму жилых помещений на период своей трудовой деятельности в Кашинском </w:t>
      </w:r>
      <w:r>
        <w:rPr>
          <w:rFonts w:ascii="Times New Roman" w:hAnsi="Times New Roman"/>
          <w:sz w:val="28"/>
        </w:rPr>
        <w:t xml:space="preserve">муниципальном округе Тверской области </w:t>
      </w:r>
      <w:r>
        <w:rPr>
          <w:rFonts w:ascii="Times New Roman" w:hAnsi="Times New Roman"/>
          <w:sz w:val="28"/>
        </w:rPr>
        <w:t xml:space="preserve">предоставляются в соответствии с Порядком возмещения затрат по найму жилых помещений молодым специалистам, работающим в сфере здравоохранения на территории  Кашинского  </w:t>
      </w:r>
      <w:r>
        <w:rPr>
          <w:rFonts w:ascii="Times New Roman" w:hAnsi="Times New Roman"/>
          <w:sz w:val="28"/>
        </w:rPr>
        <w:t>муниципального округа Тверской области</w:t>
      </w:r>
      <w:r>
        <w:rPr>
          <w:rFonts w:ascii="Times New Roman" w:hAnsi="Times New Roman"/>
          <w:sz w:val="28"/>
        </w:rPr>
        <w:t xml:space="preserve">, приведенном в приложении 2 к настоящей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программе.</w:t>
      </w:r>
    </w:p>
    <w:p w14:paraId="5F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6001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bookmarkStart w:id="3" w:name="_Hlk158122417"/>
      <w:r>
        <w:rPr>
          <w:rFonts w:ascii="Times New Roman" w:hAnsi="Times New Roman"/>
          <w:sz w:val="28"/>
        </w:rPr>
        <w:t>4.4.  Объем финансовых ресурсов, необходимый для реализации подпрограммы</w:t>
      </w:r>
    </w:p>
    <w:p w14:paraId="61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62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финансирования на реализацию подпрограммы 2 за счет средств местного бюджета составляет </w:t>
      </w:r>
      <w:r>
        <w:rPr>
          <w:rFonts w:ascii="Times New Roman" w:hAnsi="Times New Roman"/>
          <w:sz w:val="28"/>
        </w:rPr>
        <w:t>720</w:t>
      </w:r>
      <w:r>
        <w:rPr>
          <w:rFonts w:ascii="Times New Roman" w:hAnsi="Times New Roman"/>
          <w:sz w:val="28"/>
        </w:rPr>
        <w:t>,0 тыс. руб.</w:t>
      </w:r>
    </w:p>
    <w:p w14:paraId="63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средств на реализацию подпрограммы 2 по годам реализации программы в разрезе задач приведен в таблице 2.</w:t>
      </w:r>
    </w:p>
    <w:p w14:paraId="64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5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Табл. 2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823"/>
        <w:gridCol w:w="851"/>
        <w:gridCol w:w="852"/>
        <w:gridCol w:w="851"/>
        <w:gridCol w:w="852"/>
        <w:gridCol w:w="851"/>
        <w:gridCol w:w="852"/>
      </w:tblGrid>
      <w:tr>
        <w:trPr>
          <w:trHeight w:hRule="atLeast" w:val="761"/>
        </w:trPr>
        <w:tc>
          <w:tcPr>
            <w:tcW w:type="dxa" w:w="4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spacing w:after="0" w:line="240" w:lineRule="auto"/>
              <w:ind w:firstLine="709" w:left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67010000">
            <w:pPr>
              <w:spacing w:after="0" w:line="240" w:lineRule="auto"/>
              <w:ind w:firstLine="709" w:left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68010000">
            <w:pPr>
              <w:spacing w:after="0" w:line="240" w:lineRule="auto"/>
              <w:ind w:firstLine="709" w:left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69010000">
            <w:pPr>
              <w:spacing w:after="0" w:line="240" w:lineRule="auto"/>
              <w:ind w:firstLine="709" w:left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Задача подпрограммы</w:t>
            </w:r>
          </w:p>
        </w:tc>
        <w:tc>
          <w:tcPr>
            <w:tcW w:type="dxa" w:w="510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spacing w:after="0" w:line="240" w:lineRule="auto"/>
              <w:ind w:firstLine="709" w:left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Финансовые ресурсы, необходимые для реализации</w:t>
            </w:r>
          </w:p>
          <w:p w14:paraId="6B010000">
            <w:pPr>
              <w:spacing w:after="0" w:line="240" w:lineRule="auto"/>
              <w:ind w:firstLine="709" w:left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подпрограммы 2 (в тыс. руб.)</w:t>
            </w:r>
          </w:p>
        </w:tc>
      </w:tr>
      <w:tr>
        <w:trPr>
          <w:trHeight w:hRule="atLeast" w:val="609"/>
        </w:trPr>
        <w:tc>
          <w:tcPr>
            <w:tcW w:type="dxa" w:w="4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</w:t>
            </w: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год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</w:t>
            </w:r>
            <w:r>
              <w:rPr>
                <w:rFonts w:ascii="Times New Roman" w:hAnsi="Times New Roman"/>
                <w:b w:val="1"/>
                <w:sz w:val="24"/>
              </w:rPr>
              <w:t>6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</w:t>
            </w:r>
          </w:p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</w:t>
            </w:r>
            <w:r>
              <w:rPr>
                <w:rFonts w:ascii="Times New Roman" w:hAnsi="Times New Roman"/>
                <w:b w:val="1"/>
                <w:sz w:val="24"/>
              </w:rPr>
              <w:t>7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</w:t>
            </w:r>
            <w:r>
              <w:rPr>
                <w:rFonts w:ascii="Times New Roman" w:hAnsi="Times New Roman"/>
                <w:b w:val="1"/>
                <w:sz w:val="24"/>
              </w:rPr>
              <w:t>8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</w:t>
            </w:r>
          </w:p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</w:t>
            </w:r>
            <w:r>
              <w:rPr>
                <w:rFonts w:ascii="Times New Roman" w:hAnsi="Times New Roman"/>
                <w:b w:val="1"/>
                <w:sz w:val="24"/>
              </w:rPr>
              <w:t>9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</w:t>
            </w:r>
            <w:r>
              <w:rPr>
                <w:rFonts w:ascii="Times New Roman" w:hAnsi="Times New Roman"/>
                <w:b w:val="1"/>
                <w:sz w:val="24"/>
              </w:rPr>
              <w:t>30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</w:t>
            </w:r>
          </w:p>
        </w:tc>
      </w:tr>
      <w:tr>
        <w:trPr>
          <w:trHeight w:hRule="atLeast" w:val="574"/>
        </w:trPr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«Привлечение в </w:t>
            </w:r>
            <w:r>
              <w:rPr>
                <w:rFonts w:ascii="Times New Roman" w:hAnsi="Times New Roman"/>
                <w:sz w:val="24"/>
              </w:rPr>
              <w:t>Кашинский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муниципальный округ Тверской области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талантливых и профессиональных молодых специалистов, несущих потенциал для развития отрасли здравоохранения»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61"/>
        </w:trPr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«Содействие в решении жилищных проблем молодых специалистов в отрасли здравоохранение»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353"/>
        </w:trPr>
        <w:tc>
          <w:tcPr>
            <w:tcW w:type="dxa" w:w="4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Всего, тыс. руб.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14:paraId="8A010000">
      <w:pPr>
        <w:tabs>
          <w:tab w:leader="none" w:pos="7078" w:val="left"/>
        </w:tabs>
        <w:spacing w:after="0" w:line="240" w:lineRule="auto"/>
        <w:ind/>
        <w:rPr>
          <w:rFonts w:ascii="Times New Roman" w:hAnsi="Times New Roman"/>
          <w:sz w:val="24"/>
        </w:rPr>
      </w:pPr>
      <w:bookmarkEnd w:id="3"/>
    </w:p>
    <w:p w14:paraId="8B010000">
      <w:pPr>
        <w:tabs>
          <w:tab w:leader="none" w:pos="7078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p w14:paraId="8C01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 Подпрограмма 3 «Содействие в обеспечении жильем молодых семей»</w:t>
      </w:r>
    </w:p>
    <w:p w14:paraId="8D01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8E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 Задачи подпрограммы</w:t>
      </w:r>
    </w:p>
    <w:p w14:paraId="8F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0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3 «Содействие в обеспечении жильем молодых семей» (далее – подпрограмма 3) связана с решением следующих задач:</w:t>
      </w:r>
    </w:p>
    <w:p w14:paraId="91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а) задача 1 «Содействие в решении жилищных проблем молодых семей»;</w:t>
      </w:r>
    </w:p>
    <w:p w14:paraId="92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б) задача 2 «Информирование молодых граждан о предоставляемых   государством мерах поддержки молодых семей в решении жилищных проблем».</w:t>
      </w:r>
    </w:p>
    <w:p w14:paraId="93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«Содействие в решении жилищных проблем молодых семей» оценивается с помощью следующих показателей:</w:t>
      </w:r>
    </w:p>
    <w:p w14:paraId="94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а) к</w:t>
      </w:r>
      <w:r>
        <w:rPr>
          <w:rFonts w:ascii="Times New Roman" w:hAnsi="Times New Roman"/>
          <w:sz w:val="28"/>
        </w:rPr>
        <w:t>оличество молодых семей проинформированных и получивших содействие в решении жилищных проблем</w:t>
      </w:r>
      <w:r>
        <w:rPr>
          <w:rFonts w:ascii="Times New Roman" w:hAnsi="Times New Roman"/>
          <w:sz w:val="28"/>
        </w:rPr>
        <w:t>.</w:t>
      </w:r>
    </w:p>
    <w:p w14:paraId="95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«Информирование молодых граждан о предоставляемых государством мерах поддержки молодых семей в решении жилищных проблем» оценивается с помощью следующих показателей: </w:t>
      </w:r>
    </w:p>
    <w:p w14:paraId="96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молодых граждан, информированных о предоставляемых государством мерах поддержки молодых семей в решении жилищных проблем.</w:t>
      </w:r>
    </w:p>
    <w:p w14:paraId="97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Значение показателей задач подпрограммы 3 по годам реализации приведены в приложении 1 к настоящей </w:t>
      </w:r>
      <w:r>
        <w:rPr>
          <w:rFonts w:ascii="Times New Roman" w:hAnsi="Times New Roman"/>
          <w:sz w:val="28"/>
        </w:rPr>
        <w:t>муниципальной п</w:t>
      </w:r>
      <w:r>
        <w:rPr>
          <w:rFonts w:ascii="Times New Roman" w:hAnsi="Times New Roman"/>
          <w:sz w:val="28"/>
        </w:rPr>
        <w:t>рограмме.</w:t>
      </w:r>
    </w:p>
    <w:p w14:paraId="98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99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5.2 Мероприятия подпрограммы</w:t>
      </w:r>
    </w:p>
    <w:p w14:paraId="9A01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9B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«Содействие в решении жилищных проблем молодых семей» осуществляется посредством выполнения следующих административных мероприятий и мероприятий подпрограммы 3:</w:t>
      </w:r>
    </w:p>
    <w:p w14:paraId="9C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«Субсидии для оплаты социальной выплаты (дополнительной социальной выплаты) на приобретение (строительство) жилья молодым семьям»;</w:t>
      </w:r>
    </w:p>
    <w:p w14:paraId="9D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«Оформление свидетельств о праве на получение социальной выплаты (дополнительной социальной выплаты) на приобретение (строительство) жилья молодым семьям».</w:t>
      </w:r>
    </w:p>
    <w:p w14:paraId="9E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«Информирование молодых граждан о предоставляемых государством мерах поддержки молодых семей в решении жилищных проблем» осуществляется посредством выполнения следующих мероприятий подпрограммы 3:</w:t>
      </w:r>
    </w:p>
    <w:p w14:paraId="9F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административное мероприятие «Обеспечение распространения информационно-справочных материалов, о предоставляемых государством мерах поддержки молодых семей в решении жилищных проблем»;</w:t>
      </w:r>
    </w:p>
    <w:p w14:paraId="A0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административное мероприятие «Осуществление приёма граждан и разъяснение молодым семьям о существующих мерах поддержки молодых семей в решении жилищных проблем в Администрации Кашинского </w:t>
      </w:r>
      <w:r>
        <w:rPr>
          <w:rFonts w:ascii="Times New Roman" w:hAnsi="Times New Roman"/>
          <w:sz w:val="28"/>
        </w:rPr>
        <w:t>муниципального округа Тверской области</w:t>
      </w:r>
      <w:r>
        <w:rPr>
          <w:rFonts w:ascii="Times New Roman" w:hAnsi="Times New Roman"/>
          <w:sz w:val="28"/>
        </w:rPr>
        <w:t>».</w:t>
      </w:r>
    </w:p>
    <w:p w14:paraId="A1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Выполнение каждого административного мероприятия и мероприятия подпрограммы 3 оценивается с помощью показателей, перечень которых и их значения по годам реализации приведены в приложении 1 к настоящей </w:t>
      </w:r>
      <w:r>
        <w:rPr>
          <w:rFonts w:ascii="Times New Roman" w:hAnsi="Times New Roman"/>
          <w:sz w:val="28"/>
        </w:rPr>
        <w:t>муниципальной п</w:t>
      </w:r>
      <w:r>
        <w:rPr>
          <w:rFonts w:ascii="Times New Roman" w:hAnsi="Times New Roman"/>
          <w:sz w:val="28"/>
        </w:rPr>
        <w:t>рограмме.</w:t>
      </w:r>
    </w:p>
    <w:p w14:paraId="A2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A301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5.3. Механизм предоставления бюджетных ассигнований для выполнения мероприятий подпрограммы</w:t>
      </w:r>
    </w:p>
    <w:p w14:paraId="A401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A5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4" w:name="_Hlk185864395"/>
      <w:r>
        <w:rPr>
          <w:rFonts w:ascii="Times New Roman" w:hAnsi="Times New Roman"/>
          <w:sz w:val="28"/>
        </w:rPr>
        <w:t xml:space="preserve">Бюджетные ассигнования для выполнения мероприятий подпрограммы 3, представляются в соответствии </w:t>
      </w:r>
      <w:bookmarkEnd w:id="4"/>
      <w:r>
        <w:rPr>
          <w:rFonts w:ascii="Times New Roman" w:hAnsi="Times New Roman"/>
          <w:sz w:val="28"/>
        </w:rPr>
        <w:t>с:</w:t>
      </w:r>
    </w:p>
    <w:p w14:paraId="A601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Правилами предоставления молодым семьям социальных выплат на приобретение (строительство) жилья и их использования, которые являются  приложением №1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утвержденным постановлением Правительства Российской Федерации от 17.12.2010 № 1050;</w:t>
      </w:r>
    </w:p>
    <w:p w14:paraId="A7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Порядком предоставления молодым семьям социальных выплат на приобретение (строительство) жилья в Тверской области, который является приложением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к государственной программе Тверской области «Молодежь </w:t>
      </w:r>
      <w:r>
        <w:rPr>
          <w:rFonts w:ascii="Times New Roman" w:hAnsi="Times New Roman"/>
          <w:sz w:val="28"/>
        </w:rPr>
        <w:t>Верхневолжья</w:t>
      </w:r>
      <w:r>
        <w:rPr>
          <w:rFonts w:ascii="Times New Roman" w:hAnsi="Times New Roman"/>
          <w:sz w:val="28"/>
        </w:rPr>
        <w:t>», утвержденной Постановлением Правительства Тверской области от 0</w:t>
      </w:r>
      <w:r>
        <w:rPr>
          <w:rFonts w:ascii="Times New Roman" w:hAnsi="Times New Roman"/>
          <w:sz w:val="28"/>
        </w:rPr>
        <w:t>3.05.2024</w:t>
      </w:r>
      <w:r>
        <w:rPr>
          <w:rFonts w:ascii="Times New Roman" w:hAnsi="Times New Roman"/>
          <w:sz w:val="28"/>
        </w:rPr>
        <w:t xml:space="preserve"> № 1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5-пп</w:t>
      </w:r>
      <w:r>
        <w:rPr>
          <w:rFonts w:ascii="Times New Roman" w:hAnsi="Times New Roman"/>
          <w:sz w:val="28"/>
        </w:rPr>
        <w:t>;</w:t>
      </w:r>
    </w:p>
    <w:p w14:paraId="A801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3.Порядок предоставления молодым семьям - участникам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"consultantplus://offline/ref=9778F1D35C9F7A2E7A14D5CCDF806B059562FB979D205D50C6BF8CDD8F7ADFE94AA2CA2F1B2A70F332CC4652C90D5430FB88AF59731F668E4F555CC7e25AL"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подпрограммы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«Содействие в решении социально-экономических проблем молодых семей и формирование ценностей семейной культуры в молодежной среде» государственной программы Тверской области «Молодежь </w:t>
      </w:r>
      <w:r>
        <w:rPr>
          <w:rFonts w:ascii="Times New Roman" w:hAnsi="Times New Roman"/>
          <w:sz w:val="28"/>
        </w:rPr>
        <w:t>Верхневолжья</w:t>
      </w:r>
      <w:r>
        <w:rPr>
          <w:rFonts w:ascii="Times New Roman" w:hAnsi="Times New Roman"/>
          <w:sz w:val="28"/>
        </w:rPr>
        <w:t xml:space="preserve">» дополнительной социальной выплаты для погашения части кредита или займа либо для компенсации затраченных собственных средств на приобретение (строительство) жилья при рождении (усыновлении) одного ребенка, который является приложением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к государственной программе Тверской области «Молодежь </w:t>
      </w:r>
      <w:r>
        <w:rPr>
          <w:rFonts w:ascii="Times New Roman" w:hAnsi="Times New Roman"/>
          <w:sz w:val="28"/>
        </w:rPr>
        <w:t>Верхневолжья</w:t>
      </w:r>
      <w:r>
        <w:rPr>
          <w:rFonts w:ascii="Times New Roman" w:hAnsi="Times New Roman"/>
          <w:sz w:val="28"/>
        </w:rPr>
        <w:t xml:space="preserve">», утвержденной Постановлением Правительства Тверской области от </w:t>
      </w:r>
      <w:r>
        <w:rPr>
          <w:rFonts w:ascii="Times New Roman" w:hAnsi="Times New Roman"/>
          <w:sz w:val="28"/>
        </w:rPr>
        <w:t>03.05.2024</w:t>
      </w:r>
      <w:r>
        <w:rPr>
          <w:rFonts w:ascii="Times New Roman" w:hAnsi="Times New Roman"/>
          <w:sz w:val="28"/>
        </w:rPr>
        <w:t xml:space="preserve"> № 1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5-пп</w:t>
      </w:r>
      <w:r>
        <w:rPr>
          <w:rFonts w:ascii="Times New Roman" w:hAnsi="Times New Roman"/>
          <w:sz w:val="28"/>
        </w:rPr>
        <w:t>.</w:t>
      </w:r>
    </w:p>
    <w:p w14:paraId="A9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AA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5.4.  Объем финансовых ресурсов, необходимый для </w:t>
      </w:r>
    </w:p>
    <w:p w14:paraId="AB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реализации подпрограммы</w:t>
      </w:r>
    </w:p>
    <w:p w14:paraId="AC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AD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финансирования на реализацию подпрограммы 3 за счет средств местного бюджета составляет – </w:t>
      </w:r>
      <w:r>
        <w:rPr>
          <w:rFonts w:ascii="Times New Roman" w:hAnsi="Times New Roman"/>
          <w:sz w:val="28"/>
        </w:rPr>
        <w:t>2205,0</w:t>
      </w:r>
      <w:r>
        <w:rPr>
          <w:rFonts w:ascii="Times New Roman" w:hAnsi="Times New Roman"/>
          <w:sz w:val="28"/>
        </w:rPr>
        <w:t xml:space="preserve"> тыс. руб.</w:t>
      </w:r>
    </w:p>
    <w:p w14:paraId="AE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Объем бюджетных средств на реализацию подпрограммы 3 по годам реализации </w:t>
      </w:r>
      <w:r>
        <w:rPr>
          <w:rFonts w:ascii="Times New Roman" w:hAnsi="Times New Roman"/>
          <w:sz w:val="28"/>
        </w:rPr>
        <w:t xml:space="preserve">муниципальной </w:t>
      </w:r>
      <w:r>
        <w:rPr>
          <w:rFonts w:ascii="Times New Roman" w:hAnsi="Times New Roman"/>
          <w:sz w:val="28"/>
        </w:rPr>
        <w:t>программы в разрезе задач приведен в таблице 3.</w:t>
      </w:r>
    </w:p>
    <w:p w14:paraId="AF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Табл. 3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8"/>
        <w:gridCol w:w="993"/>
        <w:gridCol w:w="993"/>
        <w:gridCol w:w="1135"/>
        <w:gridCol w:w="994"/>
        <w:gridCol w:w="993"/>
        <w:gridCol w:w="851"/>
      </w:tblGrid>
      <w:tr>
        <w:trPr>
          <w:trHeight w:hRule="atLeast" w:val="761"/>
        </w:trPr>
        <w:tc>
          <w:tcPr>
            <w:tcW w:type="dxa" w:w="36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spacing w:after="0" w:line="240" w:lineRule="auto"/>
              <w:ind w:firstLine="709" w:left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B1010000">
            <w:pPr>
              <w:spacing w:after="0" w:line="240" w:lineRule="auto"/>
              <w:ind w:firstLine="709" w:left="0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Задача подпрограммы</w:t>
            </w:r>
          </w:p>
        </w:tc>
        <w:tc>
          <w:tcPr>
            <w:tcW w:type="dxa" w:w="595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spacing w:after="0" w:line="240" w:lineRule="auto"/>
              <w:ind w:firstLine="709" w:left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Финансовые ресурсы, необходимые для реализации подпрограммы 3 </w:t>
            </w:r>
          </w:p>
          <w:p w14:paraId="B4010000">
            <w:pPr>
              <w:spacing w:after="0" w:line="240" w:lineRule="auto"/>
              <w:ind w:firstLine="709" w:left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(в тыс. руб.)</w:t>
            </w:r>
          </w:p>
        </w:tc>
      </w:tr>
      <w:tr>
        <w:trPr>
          <w:trHeight w:hRule="atLeast" w:val="582"/>
        </w:trPr>
        <w:tc>
          <w:tcPr>
            <w:tcW w:type="dxa" w:w="36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spacing w:after="0" w:line="240" w:lineRule="auto"/>
              <w:ind w:hanging="8" w:left="8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</w:t>
            </w:r>
            <w:r>
              <w:rPr>
                <w:rFonts w:ascii="Times New Roman" w:hAnsi="Times New Roman"/>
                <w:b w:val="1"/>
                <w:sz w:val="24"/>
              </w:rPr>
              <w:t>5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</w:t>
            </w:r>
            <w:r>
              <w:rPr>
                <w:rFonts w:ascii="Times New Roman" w:hAnsi="Times New Roman"/>
                <w:b w:val="1"/>
                <w:sz w:val="24"/>
              </w:rPr>
              <w:t>6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</w:t>
            </w:r>
          </w:p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spacing w:after="0" w:line="240" w:lineRule="auto"/>
              <w:ind w:firstLine="33" w:left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</w:t>
            </w:r>
            <w:r>
              <w:rPr>
                <w:rFonts w:ascii="Times New Roman" w:hAnsi="Times New Roman"/>
                <w:b w:val="1"/>
                <w:sz w:val="24"/>
              </w:rPr>
              <w:t>7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</w:t>
            </w:r>
            <w:r>
              <w:rPr>
                <w:rFonts w:ascii="Times New Roman" w:hAnsi="Times New Roman"/>
                <w:b w:val="1"/>
                <w:sz w:val="24"/>
              </w:rPr>
              <w:t>8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spacing w:after="0" w:line="240" w:lineRule="auto"/>
              <w:ind w:firstLine="53" w:left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</w:t>
            </w:r>
            <w:r>
              <w:rPr>
                <w:rFonts w:ascii="Times New Roman" w:hAnsi="Times New Roman"/>
                <w:b w:val="1"/>
                <w:sz w:val="24"/>
              </w:rPr>
              <w:t>9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</w:t>
            </w:r>
            <w:r>
              <w:rPr>
                <w:rFonts w:ascii="Times New Roman" w:hAnsi="Times New Roman"/>
                <w:b w:val="1"/>
                <w:sz w:val="24"/>
              </w:rPr>
              <w:t>30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</w:t>
            </w:r>
          </w:p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574"/>
        </w:trPr>
        <w:tc>
          <w:tcPr>
            <w:tcW w:type="dxa" w:w="3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«Содействие в решении жилищных проблем молодых семей»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693,0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756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756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</w:tr>
      <w:tr>
        <w:trPr>
          <w:trHeight w:hRule="atLeast" w:val="1327"/>
        </w:trPr>
        <w:tc>
          <w:tcPr>
            <w:tcW w:type="dxa" w:w="3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«Информирование молодых граждан о предоставляемых государством мерах поддержки молодых семей в решении жилищных проблем»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353"/>
        </w:trPr>
        <w:tc>
          <w:tcPr>
            <w:tcW w:type="dxa" w:w="3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Всего, тыс. руб.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693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756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756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14:paraId="D6010000">
      <w:pPr>
        <w:spacing w:after="0" w:line="240" w:lineRule="auto"/>
        <w:ind/>
      </w:pPr>
    </w:p>
    <w:p w14:paraId="D7010000">
      <w:pPr>
        <w:spacing w:after="0" w:line="240" w:lineRule="auto"/>
        <w:ind/>
      </w:pPr>
    </w:p>
    <w:p w14:paraId="D8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D9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6. Подпрограмма 4 «Улучшение жилищных условий граждан</w:t>
      </w:r>
      <w:r>
        <w:rPr>
          <w:rFonts w:ascii="Times New Roman" w:hAnsi="Times New Roman"/>
          <w:b w:val="1"/>
          <w:sz w:val="28"/>
        </w:rPr>
        <w:t xml:space="preserve"> Российской Федерации</w:t>
      </w:r>
      <w:r>
        <w:rPr>
          <w:rFonts w:ascii="Times New Roman" w:hAnsi="Times New Roman"/>
          <w:b w:val="1"/>
          <w:sz w:val="28"/>
        </w:rPr>
        <w:t>,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проживающих </w:t>
      </w:r>
      <w:r>
        <w:rPr>
          <w:rFonts w:ascii="Times New Roman" w:hAnsi="Times New Roman"/>
          <w:b w:val="1"/>
          <w:sz w:val="28"/>
        </w:rPr>
        <w:t>и работающих на</w:t>
      </w:r>
      <w:r>
        <w:rPr>
          <w:rFonts w:ascii="Times New Roman" w:hAnsi="Times New Roman"/>
          <w:b w:val="1"/>
          <w:sz w:val="28"/>
        </w:rPr>
        <w:t xml:space="preserve"> сельск</w:t>
      </w:r>
      <w:r>
        <w:rPr>
          <w:rFonts w:ascii="Times New Roman" w:hAnsi="Times New Roman"/>
          <w:b w:val="1"/>
          <w:sz w:val="28"/>
        </w:rPr>
        <w:t>их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территориях</w:t>
      </w:r>
      <w:r>
        <w:rPr>
          <w:rFonts w:ascii="Times New Roman" w:hAnsi="Times New Roman"/>
          <w:b w:val="1"/>
          <w:sz w:val="28"/>
        </w:rPr>
        <w:t>»</w:t>
      </w:r>
    </w:p>
    <w:p w14:paraId="DA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DB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1. Задачи подпрограммы</w:t>
      </w:r>
    </w:p>
    <w:p w14:paraId="DC010000">
      <w:pPr>
        <w:widowControl w:val="0"/>
        <w:spacing w:after="0" w:line="240" w:lineRule="auto"/>
        <w:ind w:firstLine="0" w:left="360"/>
        <w:jc w:val="both"/>
        <w:outlineLvl w:val="3"/>
        <w:rPr>
          <w:rFonts w:ascii="Times New Roman" w:hAnsi="Times New Roman"/>
          <w:color w:themeColor="text1" w:val="000000"/>
          <w:sz w:val="28"/>
        </w:rPr>
      </w:pPr>
    </w:p>
    <w:p w14:paraId="DD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«</w:t>
      </w:r>
      <w:r>
        <w:rPr>
          <w:rFonts w:ascii="Times New Roman" w:hAnsi="Times New Roman"/>
          <w:sz w:val="28"/>
        </w:rPr>
        <w:t>Улучшение жилищных условий граждан Российской Федерации, проживающих и работающих на сельских территориях</w:t>
      </w:r>
      <w:r>
        <w:rPr>
          <w:rFonts w:ascii="Times New Roman" w:hAnsi="Times New Roman"/>
          <w:sz w:val="28"/>
        </w:rPr>
        <w:t>» (далее – Подпрограмма 4) связана с решением следующих задач:</w:t>
      </w:r>
    </w:p>
    <w:p w14:paraId="DE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задача 1: </w:t>
      </w:r>
      <w:r>
        <w:rPr>
          <w:rFonts w:ascii="Times New Roman" w:hAnsi="Times New Roman"/>
          <w:sz w:val="28"/>
        </w:rPr>
        <w:t>привлечение граждан Российской Федерации, к участию в реализации мероприятий по строительству (приобретению) жилья</w:t>
      </w:r>
      <w:r>
        <w:rPr>
          <w:rFonts w:ascii="Times New Roman" w:hAnsi="Times New Roman"/>
          <w:sz w:val="28"/>
        </w:rPr>
        <w:t>;</w:t>
      </w:r>
    </w:p>
    <w:p w14:paraId="DF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задача 2:</w:t>
      </w:r>
      <w:r>
        <w:rPr>
          <w:rFonts w:ascii="Times New Roman" w:hAnsi="Times New Roman"/>
          <w:sz w:val="28"/>
        </w:rPr>
        <w:t xml:space="preserve"> о</w:t>
      </w:r>
      <w:r>
        <w:rPr>
          <w:rFonts w:ascii="Times New Roman" w:hAnsi="Times New Roman"/>
          <w:sz w:val="28"/>
        </w:rPr>
        <w:t>беспечение жильем граждан Российской Федерации,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проживающих и работающих на сельских территориях</w:t>
      </w:r>
      <w:r>
        <w:rPr>
          <w:rFonts w:ascii="Times New Roman" w:hAnsi="Times New Roman"/>
          <w:sz w:val="28"/>
        </w:rPr>
        <w:t>.</w:t>
      </w:r>
    </w:p>
    <w:p w14:paraId="E0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подпрограммы 4 «</w:t>
      </w:r>
      <w:r>
        <w:rPr>
          <w:rFonts w:ascii="Times New Roman" w:hAnsi="Times New Roman"/>
          <w:sz w:val="28"/>
        </w:rPr>
        <w:t>Привлечение граждан Российской Федерации, к участию в реализации мероприятий по строительству (приобретению) жилья</w:t>
      </w:r>
      <w:r>
        <w:rPr>
          <w:rFonts w:ascii="Times New Roman" w:hAnsi="Times New Roman"/>
          <w:sz w:val="28"/>
        </w:rPr>
        <w:t>» оценивается с помощью следующего показателя:</w:t>
      </w:r>
    </w:p>
    <w:p w14:paraId="E1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оличество граждан Российской Федерации, проживающих и работающих на сельских территориях,  поставленных на учет в качестве нуждающихся в жилом помещении</w:t>
      </w:r>
      <w:r>
        <w:rPr>
          <w:rFonts w:ascii="Times New Roman" w:hAnsi="Times New Roman"/>
          <w:sz w:val="28"/>
        </w:rPr>
        <w:t xml:space="preserve">.  </w:t>
      </w:r>
    </w:p>
    <w:p w14:paraId="E2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подпрограммы 4 «</w:t>
      </w:r>
      <w:r>
        <w:rPr>
          <w:rFonts w:ascii="Times New Roman" w:hAnsi="Times New Roman"/>
          <w:sz w:val="28"/>
        </w:rPr>
        <w:t>Обеспечение жильем граждан Российской Федерации, проживающих и работающих на сельских территориях</w:t>
      </w:r>
      <w:r>
        <w:rPr>
          <w:rFonts w:ascii="Times New Roman" w:hAnsi="Times New Roman"/>
          <w:sz w:val="28"/>
        </w:rPr>
        <w:t>», оценивается с помощью следующих показателей:</w:t>
      </w:r>
    </w:p>
    <w:p w14:paraId="E3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вод (приобретение) жилья для граждан Российской Федерации, работающих и проживающих на сельских территориях.</w:t>
      </w:r>
    </w:p>
    <w:p w14:paraId="E4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E501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6.2. </w:t>
      </w:r>
      <w:r>
        <w:rPr>
          <w:rFonts w:ascii="Times New Roman" w:hAnsi="Times New Roman"/>
          <w:sz w:val="28"/>
        </w:rPr>
        <w:t>Мероприятия подпрограммы</w:t>
      </w:r>
    </w:p>
    <w:p w14:paraId="E601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E7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подпрограммы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 xml:space="preserve">Привлечение граждан Российской Федерации, к участию в реализации мероприятий по строительству </w:t>
      </w:r>
      <w:r>
        <w:rPr>
          <w:rFonts w:ascii="Times New Roman" w:hAnsi="Times New Roman"/>
          <w:sz w:val="28"/>
        </w:rPr>
        <w:t>(приобретению) жилья</w:t>
      </w:r>
      <w:r>
        <w:rPr>
          <w:rFonts w:ascii="Times New Roman" w:hAnsi="Times New Roman"/>
          <w:sz w:val="28"/>
        </w:rPr>
        <w:t>» осуществляется посредством выполнения следующих мероприятий:</w:t>
      </w:r>
    </w:p>
    <w:p w14:paraId="E8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 xml:space="preserve"> административное мероприяти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«И</w:t>
      </w:r>
      <w:r>
        <w:rPr>
          <w:rFonts w:ascii="Times New Roman" w:hAnsi="Times New Roman"/>
          <w:sz w:val="28"/>
        </w:rPr>
        <w:t>нформирование граждан Российской Федерации и проведение с ними   разъяснительной работы об условиях участия в мероприятиях по улучшению жилищных условий граждан, проживающих и работающих на сельских территориях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E9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административное мероприяти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: «Ф</w:t>
      </w:r>
      <w:r>
        <w:rPr>
          <w:rFonts w:ascii="Times New Roman" w:hAnsi="Times New Roman"/>
          <w:sz w:val="28"/>
        </w:rPr>
        <w:t>ормирование и поддержание в актуальном состоянии списка нуждающихся в улучшении жилищных условиях граждан Российской Федерации — участников мероприятия по улучшению жилищных условий на сельских территориях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EA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Результаты мероприятий по решению задачи 1 подпрограммы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Привлечение граждан Российской Федерации, к участию в реализации мероприятий по строительству (приобретению) жилья</w:t>
      </w:r>
      <w:r>
        <w:rPr>
          <w:rFonts w:ascii="Times New Roman" w:hAnsi="Times New Roman"/>
          <w:sz w:val="28"/>
        </w:rPr>
        <w:t>» оценивается с помощью следующих показателей:</w:t>
      </w:r>
    </w:p>
    <w:p w14:paraId="EB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bookmarkStart w:id="5" w:name="_Hlk158638331"/>
      <w:r>
        <w:rPr>
          <w:rFonts w:ascii="Times New Roman" w:hAnsi="Times New Roman"/>
          <w:sz w:val="28"/>
        </w:rPr>
        <w:t>административное мероприяти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</w:t>
      </w:r>
      <w:bookmarkEnd w:id="5"/>
      <w:r>
        <w:rPr>
          <w:rFonts w:ascii="Times New Roman" w:hAnsi="Times New Roman"/>
          <w:sz w:val="28"/>
        </w:rPr>
        <w:t xml:space="preserve">1: </w:t>
      </w:r>
      <w:r>
        <w:rPr>
          <w:rFonts w:ascii="Times New Roman" w:hAnsi="Times New Roman"/>
          <w:sz w:val="28"/>
        </w:rPr>
        <w:t>количество проведенной разъяснительной работы среди граждан Российской Федерации, об условиях участия в мероприятиях по улучшению жилищных условий на сельских территориях</w:t>
      </w:r>
      <w:r>
        <w:rPr>
          <w:rFonts w:ascii="Times New Roman" w:hAnsi="Times New Roman"/>
          <w:sz w:val="28"/>
        </w:rPr>
        <w:t>;</w:t>
      </w:r>
    </w:p>
    <w:p w14:paraId="EC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административн</w:t>
      </w:r>
      <w:r>
        <w:rPr>
          <w:rFonts w:ascii="Times New Roman" w:hAnsi="Times New Roman"/>
          <w:sz w:val="28"/>
        </w:rPr>
        <w:t>ое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2:</w:t>
      </w:r>
      <w:r>
        <w:rPr>
          <w:rFonts w:ascii="Times New Roman" w:hAnsi="Times New Roman"/>
          <w:sz w:val="28"/>
        </w:rPr>
        <w:t xml:space="preserve"> Количество граждан Российской Федерации, работающих и проживающих на сельских территориях, привлеченных к участию в реализации мероприятий по строительству (приобретению) жилья на сельских территориях</w:t>
      </w:r>
      <w:r>
        <w:rPr>
          <w:rFonts w:ascii="Times New Roman" w:hAnsi="Times New Roman"/>
          <w:sz w:val="28"/>
        </w:rPr>
        <w:t>.</w:t>
      </w:r>
    </w:p>
    <w:p w14:paraId="ED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подпрограммы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Обеспечение жильем граждан Российской Федерации, проживающих и работающих на сельских территориях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осуществляется посредством выполнения следующих мероприятий:</w:t>
      </w:r>
    </w:p>
    <w:p w14:paraId="EE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административное мероприяти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1</w:t>
      </w:r>
      <w:r>
        <w:rPr>
          <w:rFonts w:ascii="Times New Roman" w:hAnsi="Times New Roman"/>
          <w:sz w:val="28"/>
        </w:rPr>
        <w:t>: «С</w:t>
      </w:r>
      <w:r>
        <w:rPr>
          <w:rFonts w:ascii="Times New Roman" w:hAnsi="Times New Roman"/>
          <w:sz w:val="28"/>
        </w:rPr>
        <w:t>одействие гражданам Российской Федерации, проживающим и  работающим на сельских территориях в подготовке и предоставлении в Министерство сельского хозяйства, пищевой и перерабатывающей промышленности Тверской области пакетов документов для реализации мероприятия по строительству  (приобретению) жилья на сельских территориях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EF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административное мероприятие 2: «</w:t>
      </w:r>
      <w:r>
        <w:rPr>
          <w:rFonts w:ascii="Times New Roman" w:hAnsi="Times New Roman"/>
          <w:sz w:val="28"/>
        </w:rPr>
        <w:t xml:space="preserve">Оформление свидетельств о праве на получение социальной выплаты (дополнительной социальной </w:t>
      </w:r>
      <w:r>
        <w:rPr>
          <w:rFonts w:ascii="Times New Roman" w:hAnsi="Times New Roman"/>
          <w:sz w:val="28"/>
        </w:rPr>
        <w:t>выплаты)  на</w:t>
      </w:r>
      <w:r>
        <w:rPr>
          <w:rFonts w:ascii="Times New Roman" w:hAnsi="Times New Roman"/>
          <w:sz w:val="28"/>
        </w:rPr>
        <w:t xml:space="preserve"> строительство (приобретение) жилья гражданам Российской Федерации, проживающим и работающим на  сельских территориях</w:t>
      </w:r>
      <w:r>
        <w:rPr>
          <w:rFonts w:ascii="Times New Roman" w:hAnsi="Times New Roman"/>
          <w:sz w:val="28"/>
        </w:rPr>
        <w:t>».</w:t>
      </w:r>
    </w:p>
    <w:p w14:paraId="F0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Результаты мероприятий по решению задачи 2 подпрограммы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Обеспечение жильем граждан Российской Федерации, проживающих и работающих на сельских территориях</w:t>
      </w:r>
      <w:r>
        <w:rPr>
          <w:rFonts w:ascii="Times New Roman" w:hAnsi="Times New Roman"/>
          <w:sz w:val="28"/>
        </w:rPr>
        <w:t xml:space="preserve">», оценивается с помощью следующих показателей: </w:t>
      </w:r>
    </w:p>
    <w:p w14:paraId="F1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вод (приобретение) жилья для граждан Российской Федерации,  работающих и проживающих на сельских территориях</w:t>
      </w:r>
      <w:r>
        <w:rPr>
          <w:rFonts w:ascii="Times New Roman" w:hAnsi="Times New Roman"/>
          <w:sz w:val="28"/>
        </w:rPr>
        <w:t>.</w:t>
      </w:r>
    </w:p>
    <w:p w14:paraId="F2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Значения показателей для оценки мероприятий, необходимых для реализации Подпрограммы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по годам реализации </w:t>
      </w:r>
      <w:r>
        <w:rPr>
          <w:rFonts w:ascii="Times New Roman" w:hAnsi="Times New Roman"/>
          <w:sz w:val="28"/>
        </w:rPr>
        <w:t xml:space="preserve">муниципальной </w:t>
      </w:r>
      <w:r>
        <w:rPr>
          <w:rFonts w:ascii="Times New Roman" w:hAnsi="Times New Roman"/>
          <w:sz w:val="28"/>
        </w:rPr>
        <w:t>программы в разрезе задач приведены в приложении 1.</w:t>
      </w:r>
    </w:p>
    <w:p w14:paraId="F3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Исполнителем мероприятий Подпрограммы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является Комитет по управлению имуществом Администрации Кашинского </w:t>
      </w:r>
      <w:r>
        <w:rPr>
          <w:rFonts w:ascii="Times New Roman" w:hAnsi="Times New Roman"/>
          <w:sz w:val="28"/>
        </w:rPr>
        <w:t xml:space="preserve">муниципального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.</w:t>
      </w:r>
    </w:p>
    <w:p w14:paraId="F4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F501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6.3. </w:t>
      </w:r>
      <w:r>
        <w:rPr>
          <w:rFonts w:ascii="Times New Roman" w:hAnsi="Times New Roman"/>
          <w:sz w:val="28"/>
        </w:rPr>
        <w:t xml:space="preserve">Механизм предоставления бюджетных ассигнований </w:t>
      </w:r>
    </w:p>
    <w:p w14:paraId="F601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выполнения мероприятий подпрограммы</w:t>
      </w:r>
    </w:p>
    <w:p w14:paraId="F7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yellow"/>
        </w:rPr>
      </w:pPr>
    </w:p>
    <w:p w14:paraId="F8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Бюджетные ассигнования для выполнения мероприятий подпрограммы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, представляются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Министерство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сельского хозяйства, пищевой и перерабатывающей промышленности Тверской области</w:t>
      </w:r>
      <w:r>
        <w:rPr>
          <w:rFonts w:ascii="Times New Roman" w:hAnsi="Times New Roman"/>
          <w:sz w:val="28"/>
        </w:rPr>
        <w:t xml:space="preserve"> в соответствии </w:t>
      </w:r>
      <w:r>
        <w:rPr>
          <w:rFonts w:ascii="Times New Roman" w:hAnsi="Times New Roman"/>
          <w:sz w:val="28"/>
        </w:rPr>
        <w:t xml:space="preserve">с </w:t>
      </w:r>
      <w:bookmarkStart w:id="6" w:name="_Hlk167949523"/>
      <w:r>
        <w:rPr>
          <w:rFonts w:ascii="Times New Roman" w:hAnsi="Times New Roman"/>
          <w:sz w:val="28"/>
        </w:rPr>
        <w:t>Положением о предоставлении социальной выплаты на строительство (приобретение) жилья гражданам, проживающим на сельских территориях</w:t>
      </w:r>
      <w:r>
        <w:rPr>
          <w:rFonts w:ascii="Times New Roman" w:hAnsi="Times New Roman"/>
          <w:sz w:val="28"/>
        </w:rPr>
        <w:t xml:space="preserve"> являющимся</w:t>
      </w:r>
      <w:r>
        <w:rPr>
          <w:rFonts w:ascii="Times New Roman" w:hAnsi="Times New Roman"/>
          <w:sz w:val="28"/>
        </w:rPr>
        <w:t xml:space="preserve"> приложение № 1 к Правилам предоставления и распределения субсидий из федерального бюджета бюджетам субъектов Российской Федерации на развитие жилищного строительства на сельских территориях и повышение уровня благоустройства домовладений,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приложение № 3 к государственной программе Российской Федерации «Комплексное развитие сельских территорий» утвержденной постановлением Правительства Российской Федерации от 31.05.2019 № 696</w:t>
      </w:r>
      <w:bookmarkEnd w:id="6"/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непосредственно участнику </w:t>
      </w:r>
      <w:r>
        <w:rPr>
          <w:rFonts w:ascii="Times New Roman" w:hAnsi="Times New Roman"/>
          <w:sz w:val="28"/>
        </w:rPr>
        <w:t xml:space="preserve">муниципальной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>.</w:t>
      </w:r>
    </w:p>
    <w:p w14:paraId="F9010000">
      <w:pPr>
        <w:spacing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FA010000">
      <w:pPr>
        <w:spacing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Объем финансовых ресурсов, необходимый для реализации подпрограммы</w:t>
      </w:r>
    </w:p>
    <w:p w14:paraId="FB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инансировани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на реализацию подпрограммы 4 за счет средств местного бюджета</w:t>
      </w:r>
      <w:r>
        <w:rPr>
          <w:rFonts w:ascii="Times New Roman" w:hAnsi="Times New Roman"/>
          <w:sz w:val="28"/>
        </w:rPr>
        <w:t xml:space="preserve"> не требуется.</w:t>
      </w:r>
      <w:r>
        <w:rPr>
          <w:rFonts w:ascii="Times New Roman" w:hAnsi="Times New Roman"/>
          <w:sz w:val="28"/>
        </w:rPr>
        <w:t xml:space="preserve"> </w:t>
      </w:r>
    </w:p>
    <w:p w14:paraId="FC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FD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FE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FF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0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1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2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3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4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5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6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7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8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9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A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B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C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D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E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F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0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1134" w:footer="709" w:gutter="0" w:header="709" w:left="1701" w:right="567" w:top="28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Calibri" w:hAnsi="Calibri"/>
    </w:rPr>
  </w:style>
  <w:style w:styleId="Style_1_ch" w:type="character">
    <w:name w:val="header"/>
    <w:basedOn w:val="Style_4_ch"/>
    <w:link w:val="Style_1"/>
    <w:rPr>
      <w:rFonts w:ascii="Calibri" w:hAnsi="Calibri"/>
    </w:rPr>
  </w:style>
  <w:style w:styleId="Style_6" w:type="paragraph">
    <w:name w:val="toc 4"/>
    <w:next w:val="Style_4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6"/>
    <w:next w:val="Style_4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Гиперссылка1"/>
    <w:link w:val="Style_11_ch"/>
    <w:rPr>
      <w:color w:val="0000FF"/>
      <w:u w:val="single"/>
    </w:rPr>
  </w:style>
  <w:style w:styleId="Style_11_ch" w:type="character">
    <w:name w:val="Гиперссылка1"/>
    <w:link w:val="Style_11"/>
    <w:rPr>
      <w:color w:val="0000FF"/>
      <w:u w:val="single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4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footer"/>
    <w:basedOn w:val="Style_4"/>
    <w:link w:val="Style_1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4_ch" w:type="character">
    <w:name w:val="footer"/>
    <w:basedOn w:val="Style_4_ch"/>
    <w:link w:val="Style_14"/>
  </w:style>
  <w:style w:styleId="Style_15" w:type="paragraph">
    <w:name w:val="Обычный1"/>
    <w:link w:val="Style_15_ch"/>
  </w:style>
  <w:style w:styleId="Style_15_ch" w:type="character">
    <w:name w:val="Обычный1"/>
    <w:link w:val="Style_15"/>
  </w:style>
  <w:style w:styleId="Style_16" w:type="paragraph">
    <w:name w:val="List Paragraph"/>
    <w:basedOn w:val="Style_4"/>
    <w:link w:val="Style_16_ch"/>
    <w:pPr>
      <w:ind w:firstLine="0" w:left="720"/>
      <w:contextualSpacing w:val="1"/>
    </w:pPr>
  </w:style>
  <w:style w:styleId="Style_16_ch" w:type="character">
    <w:name w:val="List Paragraph"/>
    <w:basedOn w:val="Style_4_ch"/>
    <w:link w:val="Style_16"/>
  </w:style>
  <w:style w:styleId="Style_17" w:type="paragraph">
    <w:name w:val="toc 3"/>
    <w:next w:val="Style_4"/>
    <w:link w:val="Style_17_ch"/>
    <w:uiPriority w:val="39"/>
    <w:pPr>
      <w:ind w:firstLine="0"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Обычный1"/>
    <w:link w:val="Style_18_ch"/>
  </w:style>
  <w:style w:styleId="Style_18_ch" w:type="character">
    <w:name w:val="Обычный1"/>
    <w:link w:val="Style_18"/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heading 5"/>
    <w:next w:val="Style_4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21" w:type="paragraph">
    <w:name w:val="heading 1"/>
    <w:next w:val="Style_4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4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toc 9"/>
    <w:next w:val="Style_4"/>
    <w:link w:val="Style_26_ch"/>
    <w:uiPriority w:val="39"/>
    <w:pPr>
      <w:ind w:firstLine="0"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Balloon Text"/>
    <w:basedOn w:val="Style_4"/>
    <w:link w:val="Style_27_ch"/>
    <w:pPr>
      <w:spacing w:after="0" w:line="240" w:lineRule="auto"/>
      <w:ind/>
    </w:pPr>
    <w:rPr>
      <w:rFonts w:ascii="Tahoma" w:hAnsi="Tahoma"/>
      <w:sz w:val="16"/>
    </w:rPr>
  </w:style>
  <w:style w:styleId="Style_27_ch" w:type="character">
    <w:name w:val="Balloon Text"/>
    <w:basedOn w:val="Style_4_ch"/>
    <w:link w:val="Style_27"/>
    <w:rPr>
      <w:rFonts w:ascii="Tahoma" w:hAnsi="Tahoma"/>
      <w:sz w:val="16"/>
    </w:rPr>
  </w:style>
  <w:style w:styleId="Style_28" w:type="paragraph">
    <w:name w:val="toc 8"/>
    <w:next w:val="Style_4"/>
    <w:link w:val="Style_28_ch"/>
    <w:uiPriority w:val="39"/>
    <w:pPr>
      <w:ind w:firstLine="0"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Основной шрифт абзаца2"/>
    <w:link w:val="Style_29_ch"/>
  </w:style>
  <w:style w:styleId="Style_29_ch" w:type="character">
    <w:name w:val="Основной шрифт абзаца2"/>
    <w:link w:val="Style_29"/>
  </w:style>
  <w:style w:styleId="Style_30" w:type="paragraph">
    <w:name w:val="toc 5"/>
    <w:next w:val="Style_4"/>
    <w:link w:val="Style_30_ch"/>
    <w:uiPriority w:val="39"/>
    <w:pPr>
      <w:ind w:firstLine="0"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4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4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4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2" w:type="paragraph">
    <w:name w:val="heading 2"/>
    <w:next w:val="Style_4"/>
    <w:link w:val="Style_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_ch" w:type="character">
    <w:name w:val="heading 2"/>
    <w:link w:val="Style_2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2025-01-19T16:22:10Z</dcterms:modified>
</cp:coreProperties>
</file>