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Утверждена </w:t>
      </w:r>
    </w:p>
    <w:p w14:paraId="04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постановлением Администрации </w:t>
      </w:r>
    </w:p>
    <w:p w14:paraId="05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Кашинского городского округа </w:t>
      </w:r>
    </w:p>
    <w:p w14:paraId="06000000">
      <w:pPr>
        <w:spacing w:after="0" w:line="240" w:lineRule="auto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 25.12.2024   № </w:t>
      </w:r>
      <w:r>
        <w:rPr>
          <w:rFonts w:ascii="Times New Roman" w:hAnsi="Times New Roman"/>
          <w:sz w:val="28"/>
        </w:rPr>
        <w:t>960-8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8000000">
      <w:pPr>
        <w:tabs>
          <w:tab w:leader="none" w:pos="6249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09000000">
      <w:pPr>
        <w:pStyle w:val="Style_2"/>
        <w:ind/>
        <w:jc w:val="left"/>
        <w:rPr>
          <w:sz w:val="44"/>
        </w:rPr>
      </w:pPr>
    </w:p>
    <w:p w14:paraId="0A000000"/>
    <w:p w14:paraId="0B000000"/>
    <w:p w14:paraId="0C000000"/>
    <w:p w14:paraId="0D000000">
      <w:pPr>
        <w:pStyle w:val="Style_2"/>
        <w:rPr>
          <w:rFonts w:ascii="Times New Roman" w:hAnsi="Times New Roman"/>
          <w:caps w:val="1"/>
          <w:sz w:val="44"/>
        </w:rPr>
      </w:pPr>
      <w:r>
        <w:rPr>
          <w:rFonts w:ascii="Times New Roman" w:hAnsi="Times New Roman"/>
          <w:caps w:val="1"/>
          <w:sz w:val="44"/>
        </w:rPr>
        <w:t>Муниципальная программа</w:t>
      </w:r>
    </w:p>
    <w:p w14:paraId="0E000000">
      <w:pPr>
        <w:pStyle w:val="Style_2"/>
        <w:rPr>
          <w:rFonts w:ascii="Times New Roman" w:hAnsi="Times New Roman"/>
          <w:i w:val="1"/>
          <w:caps w:val="1"/>
          <w:sz w:val="40"/>
        </w:rPr>
      </w:pPr>
      <w:r>
        <w:rPr>
          <w:rFonts w:ascii="Times New Roman" w:hAnsi="Times New Roman"/>
          <w:i w:val="1"/>
          <w:sz w:val="40"/>
        </w:rPr>
        <w:t>«Развитие физической культуры и спорта     Кашинского</w:t>
      </w:r>
      <w:r>
        <w:rPr>
          <w:rFonts w:ascii="Times New Roman" w:hAnsi="Times New Roman"/>
          <w:i w:val="1"/>
          <w:sz w:val="40"/>
        </w:rPr>
        <w:t xml:space="preserve"> муниципального</w:t>
      </w:r>
      <w:r>
        <w:rPr>
          <w:rFonts w:ascii="Times New Roman" w:hAnsi="Times New Roman"/>
          <w:i w:val="1"/>
          <w:sz w:val="40"/>
        </w:rPr>
        <w:t xml:space="preserve"> округа Тверской области</w:t>
      </w:r>
      <w:r>
        <w:rPr>
          <w:rFonts w:ascii="Times New Roman" w:hAnsi="Times New Roman"/>
          <w:i w:val="1"/>
          <w:sz w:val="40"/>
        </w:rPr>
        <w:t xml:space="preserve"> </w:t>
      </w:r>
      <w:r>
        <w:rPr>
          <w:rFonts w:ascii="Times New Roman" w:hAnsi="Times New Roman"/>
          <w:i w:val="1"/>
          <w:sz w:val="40"/>
        </w:rPr>
        <w:t>на 2025-2030 годы»</w:t>
      </w:r>
    </w:p>
    <w:p w14:paraId="0F000000">
      <w:pPr>
        <w:pStyle w:val="Style_2"/>
        <w:rPr>
          <w:rFonts w:ascii="Times New Roman" w:hAnsi="Times New Roman"/>
          <w:b w:val="0"/>
          <w:sz w:val="40"/>
        </w:rPr>
      </w:pPr>
    </w:p>
    <w:p w14:paraId="10000000">
      <w:pPr>
        <w:pStyle w:val="Style_2"/>
        <w:rPr>
          <w:rFonts w:ascii="Times New Roman" w:hAnsi="Times New Roman"/>
          <w:b w:val="0"/>
          <w:sz w:val="28"/>
        </w:rPr>
      </w:pPr>
    </w:p>
    <w:p w14:paraId="11000000">
      <w:pPr>
        <w:pStyle w:val="Style_2"/>
        <w:rPr>
          <w:rFonts w:ascii="Times New Roman" w:hAnsi="Times New Roman"/>
          <w:b w:val="0"/>
          <w:sz w:val="28"/>
        </w:rPr>
      </w:pPr>
    </w:p>
    <w:p w14:paraId="12000000">
      <w:pPr>
        <w:pStyle w:val="Style_2"/>
        <w:rPr>
          <w:rFonts w:ascii="Times New Roman" w:hAnsi="Times New Roman"/>
          <w:b w:val="0"/>
          <w:sz w:val="28"/>
        </w:rPr>
      </w:pPr>
    </w:p>
    <w:p w14:paraId="13000000"/>
    <w:p w14:paraId="14000000">
      <w:pPr>
        <w:pStyle w:val="Style_2"/>
        <w:ind/>
        <w:jc w:val="left"/>
        <w:rPr>
          <w:rFonts w:ascii="Times New Roman" w:hAnsi="Times New Roman"/>
          <w:b w:val="0"/>
          <w:sz w:val="28"/>
        </w:rPr>
      </w:pPr>
    </w:p>
    <w:p w14:paraId="15000000"/>
    <w:p w14:paraId="16000000">
      <w:pPr>
        <w:pStyle w:val="Style_2"/>
        <w:ind/>
        <w:jc w:val="left"/>
        <w:rPr>
          <w:rFonts w:ascii="Calibri" w:hAnsi="Calibri"/>
          <w:b w:val="0"/>
          <w:sz w:val="22"/>
        </w:rPr>
      </w:pPr>
    </w:p>
    <w:p w14:paraId="17000000"/>
    <w:p w14:paraId="18000000"/>
    <w:p w14:paraId="19000000"/>
    <w:p w14:paraId="1A000000"/>
    <w:p w14:paraId="1B000000"/>
    <w:p w14:paraId="1C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Кашин</w:t>
      </w:r>
    </w:p>
    <w:p w14:paraId="1D000000">
      <w:pPr>
        <w:pStyle w:val="Style_2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caps w:val="1"/>
          <w:sz w:val="28"/>
        </w:rPr>
        <w:t>Паспорт</w:t>
      </w:r>
    </w:p>
    <w:p w14:paraId="1E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муниципальной программы «Развитие физической культуры и спорта     Кашинского муниципального округа Тверской области на 2025-2030 годы»</w:t>
      </w:r>
    </w:p>
    <w:p w14:paraId="1F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3"/>
        <w:tblInd w:type="dxa" w:w="-31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835"/>
        <w:gridCol w:w="7230"/>
      </w:tblGrid>
      <w:tr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муниципальной программы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«Развитие физической культуры и спорта Кашинского муниципального округа Тверской области на 2025-2030 годы», (далее – муниципальная программа)</w:t>
            </w:r>
          </w:p>
        </w:tc>
      </w:tr>
      <w:tr>
        <w:trPr>
          <w:trHeight w:hRule="atLeast" w:val="3537"/>
        </w:trPr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Основание для разработки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 xml:space="preserve">Федеральный закон от 04.12.2007 № 329-ФЗ «О физической культуре и спорте в Российской Федерации»;                                                                </w:t>
            </w:r>
          </w:p>
          <w:p w14:paraId="2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t xml:space="preserve">-    </w:t>
            </w:r>
            <w:r>
              <w:rPr>
                <w:rFonts w:ascii="Times New Roman" w:hAnsi="Times New Roman"/>
                <w:sz w:val="28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Федерации»;                                                                </w:t>
            </w:r>
          </w:p>
          <w:p w14:paraId="2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 </w:t>
            </w:r>
            <w:r>
              <w:rPr>
                <w:rFonts w:ascii="Times New Roman" w:hAnsi="Times New Roman"/>
                <w:sz w:val="28"/>
              </w:rPr>
              <w:t>закон  Тверской</w:t>
            </w:r>
            <w:r>
              <w:rPr>
                <w:rFonts w:ascii="Times New Roman" w:hAnsi="Times New Roman"/>
                <w:sz w:val="28"/>
              </w:rPr>
              <w:t xml:space="preserve"> области от 10.03.2010 №21-ЗО «О физической культуре и спорте в Тверской области»;                                                                </w:t>
            </w:r>
          </w:p>
          <w:p w14:paraId="26000000">
            <w:pPr>
              <w:spacing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постановление Правительства Тверской области от 09.04.2024 №121-пп «О государственной программе Тверской области «Физическая культура и спорт Тверской области»</w:t>
            </w:r>
          </w:p>
        </w:tc>
      </w:tr>
      <w:tr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Администратор муниципальной программы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Кашинского муниципального округа Тверской области</w:t>
            </w:r>
          </w:p>
        </w:tc>
      </w:tr>
      <w:tr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Исполнители муниципальной программы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Комитет по культуре, туризму, спорту и делам молодёжи Администрации Кашинского муниципального округа Тверской области</w:t>
            </w:r>
          </w:p>
        </w:tc>
      </w:tr>
      <w:tr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 реализации муниципальной программы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2025-2030 годы</w:t>
            </w:r>
          </w:p>
        </w:tc>
      </w:tr>
      <w:tr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Цели муниципальной программы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Создание условий для максимального вовлечения населения Кашинского муниципального округа Тверской области в систематические занятия физической культурой и спортом, укрепление материально-технической базы учреждений объектов спортивной направленности</w:t>
            </w:r>
          </w:p>
        </w:tc>
      </w:tr>
      <w:tr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Подпрограммы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Подпрограмма 1                                                         </w:t>
            </w:r>
            <w:r>
              <w:rPr>
                <w:rFonts w:ascii="Times New Roman" w:hAnsi="Times New Roman"/>
                <w:sz w:val="28"/>
              </w:rPr>
              <w:t xml:space="preserve">   «</w:t>
            </w:r>
            <w:r>
              <w:rPr>
                <w:rFonts w:ascii="Times New Roman" w:hAnsi="Times New Roman"/>
                <w:sz w:val="28"/>
              </w:rPr>
              <w:t xml:space="preserve">Создание условий для занятий населения физической культурой и спортом» </w:t>
            </w:r>
          </w:p>
          <w:p w14:paraId="3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Подпрограмма 2                                                         </w:t>
            </w:r>
            <w:r>
              <w:rPr>
                <w:rFonts w:ascii="Times New Roman" w:hAnsi="Times New Roman"/>
                <w:sz w:val="28"/>
              </w:rPr>
              <w:t xml:space="preserve">   «</w:t>
            </w:r>
            <w:r>
              <w:rPr>
                <w:rFonts w:ascii="Times New Roman" w:hAnsi="Times New Roman"/>
                <w:sz w:val="28"/>
              </w:rPr>
              <w:t>Обеспечение функционирования спортивных объектов»  (МУ «Стадион»)</w:t>
            </w:r>
          </w:p>
        </w:tc>
      </w:tr>
      <w:tr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Ожидаемые результаты реализации </w:t>
            </w:r>
            <w:r>
              <w:rPr>
                <w:rFonts w:ascii="Times New Roman" w:hAnsi="Times New Roman"/>
                <w:sz w:val="28"/>
              </w:rPr>
              <w:t>муниципальной программы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firstLine="425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Доля детей и молодежи (возраст 3 - 29 лет), систематически занимающихся физической культурой и спортом, в общей численности детей и молодежи: 2025 – </w:t>
            </w:r>
            <w:r>
              <w:rPr>
                <w:rFonts w:ascii="Times New Roman" w:hAnsi="Times New Roman"/>
                <w:sz w:val="28"/>
              </w:rPr>
              <w:t>87,7%, 2026 – 89,2%, 2027 –90,7%, 2028 – 92,2%, 2029 – 93,7%, 2030 - 94,7%.</w:t>
            </w:r>
          </w:p>
          <w:p w14:paraId="34000000">
            <w:pPr>
              <w:spacing w:after="0" w:line="240" w:lineRule="auto"/>
              <w:ind w:firstLine="46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 Доля граждан среднего возраста (женщины: 30 - 54 года; мужчины: 30 - 59 лет), систематически занимающихся физической культурой и спортом, в общей численности граждан среднего возраста:  2025 – 33,53%, 2026 – 34,23%, 2027 – 34,93%, 2028 – 35,63%, 2029 – 36,33%, 2030 - 37,03%.</w:t>
            </w:r>
          </w:p>
          <w:p w14:paraId="35000000">
            <w:pPr>
              <w:spacing w:after="0" w:line="240" w:lineRule="auto"/>
              <w:ind w:firstLine="46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 Доля граждан старшего возраста (женщины: 55 - 79 лет; 60 - 79 лет), систематически занимающихся физической культурой и спортом, в общей численности граждан старшего </w:t>
            </w:r>
            <w:r>
              <w:rPr>
                <w:rFonts w:ascii="Times New Roman" w:hAnsi="Times New Roman"/>
                <w:sz w:val="28"/>
              </w:rPr>
              <w:t>возраста:  2025</w:t>
            </w:r>
            <w:r>
              <w:rPr>
                <w:rFonts w:ascii="Times New Roman" w:hAnsi="Times New Roman"/>
                <w:sz w:val="28"/>
              </w:rPr>
              <w:t xml:space="preserve"> – 13,16%, 2026 – 13,76%, 2027 – 14,36%, 2028 – 14,96%, 2029 -  15,56%, 2030 - 16,16%.</w:t>
            </w:r>
          </w:p>
          <w:p w14:paraId="36000000">
            <w:pPr>
              <w:spacing w:after="0" w:line="240" w:lineRule="auto"/>
              <w:ind w:firstLine="46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4. Уровень обеспеченности граждан спортивными сооружениями, исходя из единовременной пропускной способности объектов </w:t>
            </w:r>
            <w:r>
              <w:rPr>
                <w:rFonts w:ascii="Times New Roman" w:hAnsi="Times New Roman"/>
                <w:sz w:val="28"/>
              </w:rPr>
              <w:t>спорта:  2025</w:t>
            </w:r>
            <w:r>
              <w:rPr>
                <w:rFonts w:ascii="Times New Roman" w:hAnsi="Times New Roman"/>
                <w:sz w:val="28"/>
              </w:rPr>
              <w:t xml:space="preserve"> – 57,3%, 2026 – 58,2%, 2027 – 59,1%, 2028 – 60%, 2029 -  60,9%, 2030 - 61,8%.</w:t>
            </w:r>
          </w:p>
          <w:p w14:paraId="37000000">
            <w:pPr>
              <w:spacing w:after="0" w:line="240" w:lineRule="auto"/>
              <w:ind w:firstLine="46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 Доля занимающихся по программам спортивной подготовки в организациях ведомственной принадлежности в сфере физической культуры и спорта, в общем количестве занимающихся в организациях ведомственной принадлежности в сфере физической культуры и спорта: 2025 – 64,9%, 2026 – 65,4%, 2027 – 65,9%, 2028 – 66,4%, 2029 -  66,9%, 2030 - 67,4%.</w:t>
            </w:r>
          </w:p>
          <w:p w14:paraId="38000000">
            <w:pPr>
              <w:spacing w:after="0" w:line="240" w:lineRule="auto"/>
              <w:ind w:firstLine="46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6. Доля населения, выполнившего нормативы испытаний (тестов) Всероссийского </w:t>
            </w:r>
            <w:r>
              <w:rPr>
                <w:rFonts w:ascii="Times New Roman" w:hAnsi="Times New Roman"/>
                <w:sz w:val="28"/>
              </w:rPr>
              <w:t>физкультурно</w:t>
            </w:r>
            <w:r>
              <w:rPr>
                <w:rFonts w:ascii="Times New Roman" w:hAnsi="Times New Roman"/>
                <w:sz w:val="28"/>
              </w:rPr>
              <w:t xml:space="preserve"> - спортивного комплекса «Готов к труду и обороне» (ГТО), в общей численности населения, принявшего участие в испытаниях (тестах): 2025 – 69,5%, 2026 – 71%, 2027 – 72,5%, 2028 – 75%, 2029 – 76,5%, 2030 - 78%.</w:t>
            </w:r>
          </w:p>
        </w:tc>
      </w:tr>
      <w:tr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spacing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Общий объем финансирования программы на 2023-2028 </w:t>
            </w:r>
            <w:r>
              <w:rPr>
                <w:rFonts w:ascii="Times New Roman" w:hAnsi="Times New Roman"/>
                <w:sz w:val="28"/>
              </w:rPr>
              <w:t>годы  -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FA0000"/>
                <w:sz w:val="28"/>
              </w:rPr>
              <w:t>31241,1</w:t>
            </w:r>
            <w:r>
              <w:rPr>
                <w:rFonts w:ascii="Times New Roman" w:hAnsi="Times New Roman"/>
                <w:color w:val="FA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тыс. руб., из них за счёт средств бюджета Кашинского муниципального округа Тверской области –</w:t>
            </w:r>
            <w:r>
              <w:rPr>
                <w:rFonts w:ascii="Times New Roman" w:hAnsi="Times New Roman"/>
                <w:color w:val="FA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FA0000"/>
                <w:sz w:val="28"/>
              </w:rPr>
              <w:t>31241,1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тыс. руб., за счёт областного бюджета Тверской области – 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тыс. руб.</w:t>
            </w:r>
          </w:p>
          <w:tbl>
            <w:tblPr>
              <w:tblStyle w:val="Style_3"/>
              <w:tblInd w:type="dxa" w:w="0"/>
              <w:tblBorders>
                <w:top w:color="000000" w:sz="4" w:val="single"/>
                <w:left w:color="000000" w:sz="4" w:val="single"/>
                <w:bottom w:color="000000" w:sz="4" w:val="single"/>
                <w:right w:color="000000" w:sz="4" w:val="single"/>
                <w:insideH w:color="000000" w:sz="4" w:val="single"/>
                <w:insideV w:color="000000" w:sz="4" w:val="single"/>
              </w:tblBorders>
              <w:tblLayout w:type="fixed"/>
              <w:tblCellMar>
                <w:top w:type="dxa" w:w="0"/>
                <w:left w:type="dxa" w:w="108"/>
                <w:bottom w:type="dxa" w:w="0"/>
                <w:right w:type="dxa" w:w="108"/>
              </w:tblCellMar>
            </w:tblPr>
            <w:tblGrid>
              <w:gridCol w:w="1867"/>
              <w:gridCol w:w="851"/>
              <w:gridCol w:w="856"/>
              <w:gridCol w:w="850"/>
              <w:gridCol w:w="851"/>
              <w:gridCol w:w="850"/>
              <w:gridCol w:w="851"/>
            </w:tblGrid>
            <w:tr>
              <w:tc>
                <w:tcPr>
                  <w:tcW w:type="dxa" w:w="1867"/>
                  <w:vMerge w:val="restart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3B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Номер подпрограммы</w:t>
                  </w:r>
                </w:p>
              </w:tc>
              <w:tc>
                <w:tcPr>
                  <w:tcW w:type="dxa" w:w="5109"/>
                  <w:gridSpan w:val="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3C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Годы реализации</w:t>
                  </w:r>
                </w:p>
              </w:tc>
            </w:tr>
            <w:tr>
              <w:trPr>
                <w:trHeight w:hRule="atLeast" w:val="210"/>
              </w:trPr>
              <w:tc>
                <w:tcPr>
                  <w:tcW w:type="dxa" w:w="1867"/>
                  <w:gridSpan w:val="1"/>
                  <w:vMerge w:val="continue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/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3D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2025</w:t>
                  </w:r>
                </w:p>
              </w:tc>
              <w:tc>
                <w:tcPr>
                  <w:tcW w:type="dxa" w:w="8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3E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2026</w:t>
                  </w:r>
                </w:p>
              </w:tc>
              <w:tc>
                <w:tcPr>
                  <w:tcW w:type="dxa" w:w="85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3F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2027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40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2028</w:t>
                  </w:r>
                </w:p>
              </w:tc>
              <w:tc>
                <w:tcPr>
                  <w:tcW w:type="dxa" w:w="85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41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2029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42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2030</w:t>
                  </w:r>
                </w:p>
              </w:tc>
            </w:tr>
            <w:tr>
              <w:trPr>
                <w:trHeight w:hRule="atLeast" w:val="945"/>
              </w:trPr>
              <w:tc>
                <w:tcPr>
                  <w:tcW w:type="dxa" w:w="18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43000000">
                  <w:pPr>
                    <w:spacing w:after="0" w:line="240" w:lineRule="auto"/>
                    <w:ind w:right="-1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Подпрограмма 1 «Создание условий для занятий населения физической культурой и спортом»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44000000">
                  <w:pPr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</w:p>
                <w:p w14:paraId="45000000">
                  <w:pPr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3796,2</w:t>
                  </w:r>
                </w:p>
              </w:tc>
              <w:tc>
                <w:tcPr>
                  <w:tcW w:type="dxa" w:w="8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46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47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1800,0</w:t>
                  </w:r>
                </w:p>
              </w:tc>
              <w:tc>
                <w:tcPr>
                  <w:tcW w:type="dxa" w:w="85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48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49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1800,0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4A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4B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1800,0</w:t>
                  </w:r>
                </w:p>
              </w:tc>
              <w:tc>
                <w:tcPr>
                  <w:tcW w:type="dxa" w:w="85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4C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4D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1800,0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4E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4F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1800,0</w:t>
                  </w:r>
                </w:p>
              </w:tc>
            </w:tr>
            <w:tr>
              <w:tc>
                <w:tcPr>
                  <w:tcW w:type="dxa" w:w="18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50000000">
                  <w:pPr>
                    <w:spacing w:after="0" w:line="240" w:lineRule="auto"/>
                    <w:ind w:right="-1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Подпрограмма 2 «Обеспечение функционирования </w:t>
                  </w:r>
                </w:p>
                <w:p w14:paraId="51000000">
                  <w:pPr>
                    <w:spacing w:after="0" w:line="240" w:lineRule="auto"/>
                    <w:ind w:right="-1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спортивных объектов» (МУ «Стадион»)»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52000000">
                  <w:pPr>
                    <w:ind/>
                    <w:jc w:val="center"/>
                    <w:rPr>
                      <w:rFonts w:ascii="Times New Roman" w:hAnsi="Times New Roman"/>
                      <w:color w:val="000000"/>
                      <w:sz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</w:rPr>
                    <w:t>3396,9</w:t>
                  </w:r>
                </w:p>
              </w:tc>
              <w:tc>
                <w:tcPr>
                  <w:tcW w:type="dxa" w:w="8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53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3069,2</w:t>
                  </w:r>
                </w:p>
              </w:tc>
              <w:tc>
                <w:tcPr>
                  <w:tcW w:type="dxa" w:w="85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54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2994,7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55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2994,7</w:t>
                  </w:r>
                </w:p>
              </w:tc>
              <w:tc>
                <w:tcPr>
                  <w:tcW w:type="dxa" w:w="85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56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2994,7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center"/>
                </w:tcPr>
                <w:p w14:paraId="57000000">
                  <w:pPr>
                    <w:ind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2994,7</w:t>
                  </w:r>
                </w:p>
              </w:tc>
            </w:tr>
            <w:tr>
              <w:tc>
                <w:tcPr>
                  <w:tcW w:type="dxa" w:w="18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58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Всего:</w:t>
                  </w:r>
                </w:p>
                <w:p w14:paraId="59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5A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7193,1</w:t>
                  </w:r>
                </w:p>
              </w:tc>
              <w:tc>
                <w:tcPr>
                  <w:tcW w:type="dxa" w:w="856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5B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4869,2</w:t>
                  </w:r>
                </w:p>
              </w:tc>
              <w:tc>
                <w:tcPr>
                  <w:tcW w:type="dxa" w:w="85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5C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4794,7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5D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4794,7</w:t>
                  </w:r>
                </w:p>
              </w:tc>
              <w:tc>
                <w:tcPr>
                  <w:tcW w:type="dxa" w:w="85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5E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4794,7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5F000000">
                  <w:pPr>
                    <w:widowControl w:val="0"/>
                    <w:tabs>
                      <w:tab w:leader="none" w:pos="431" w:val="left"/>
                    </w:tabs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4794,7</w:t>
                  </w:r>
                </w:p>
              </w:tc>
            </w:tr>
          </w:tbl>
          <w:p w14:paraId="60000000">
            <w:pPr>
              <w:widowControl w:val="0"/>
              <w:spacing w:after="0" w:line="240" w:lineRule="auto"/>
              <w:ind w:firstLine="460" w:left="0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61000000">
      <w:pPr>
        <w:spacing w:line="240" w:lineRule="auto"/>
        <w:ind w:right="-1"/>
        <w:jc w:val="center"/>
        <w:rPr>
          <w:rFonts w:ascii="Times New Roman" w:hAnsi="Times New Roman"/>
          <w:b w:val="1"/>
          <w:sz w:val="28"/>
        </w:rPr>
      </w:pPr>
    </w:p>
    <w:p w14:paraId="62000000">
      <w:pPr>
        <w:spacing w:line="240" w:lineRule="auto"/>
        <w:ind w:right="-1"/>
        <w:jc w:val="center"/>
        <w:rPr>
          <w:rFonts w:ascii="Times New Roman" w:hAnsi="Times New Roman"/>
          <w:b w:val="1"/>
          <w:sz w:val="28"/>
        </w:rPr>
      </w:pPr>
    </w:p>
    <w:p w14:paraId="63000000">
      <w:pPr>
        <w:spacing w:line="240" w:lineRule="auto"/>
        <w:ind w:right="-1"/>
        <w:jc w:val="center"/>
        <w:rPr>
          <w:rFonts w:ascii="Times New Roman" w:hAnsi="Times New Roman"/>
          <w:b w:val="1"/>
          <w:i w:val="1"/>
          <w:color w:val="FF0000"/>
          <w:sz w:val="28"/>
        </w:rPr>
      </w:pPr>
      <w:r>
        <w:rPr>
          <w:rFonts w:ascii="Times New Roman" w:hAnsi="Times New Roman"/>
          <w:b w:val="1"/>
          <w:sz w:val="28"/>
        </w:rPr>
        <w:t>1. Общая характеристика сферы реализации муниципальной программы</w:t>
      </w:r>
    </w:p>
    <w:p w14:paraId="64000000">
      <w:pPr>
        <w:spacing w:line="240" w:lineRule="auto"/>
        <w:ind w:firstLine="709" w:left="0" w:right="-1"/>
        <w:jc w:val="center"/>
        <w:rPr>
          <w:rFonts w:ascii="Times New Roman" w:hAnsi="Times New Roman"/>
          <w:b w:val="1"/>
          <w:i w:val="1"/>
          <w:color w:val="FFC000"/>
          <w:sz w:val="28"/>
        </w:rPr>
      </w:pPr>
      <w:r>
        <w:rPr>
          <w:rFonts w:ascii="Times New Roman" w:hAnsi="Times New Roman"/>
          <w:b w:val="1"/>
          <w:sz w:val="28"/>
        </w:rPr>
        <w:t>1.1. Общая характеристика сферы реализации муниципальной программы и прогноз её развития</w:t>
      </w:r>
    </w:p>
    <w:p w14:paraId="65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Развитие массового спорта и физической культуры </w:t>
      </w:r>
      <w:r>
        <w:rPr>
          <w:rFonts w:ascii="Times New Roman" w:hAnsi="Times New Roman"/>
          <w:sz w:val="28"/>
        </w:rPr>
        <w:t>- это</w:t>
      </w:r>
      <w:r>
        <w:rPr>
          <w:rFonts w:ascii="Times New Roman" w:hAnsi="Times New Roman"/>
          <w:sz w:val="28"/>
        </w:rPr>
        <w:t xml:space="preserve"> здоровый образ жизни, это интересный досуг, это профилактика заболеваний и барьер для преступности. Сегодня это и устранение негативных социальных последствий кризиса, и создание новых рабочих мест.                                               </w:t>
      </w:r>
    </w:p>
    <w:p w14:paraId="66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Наша цель не просто сделать массовый спорт популярным и модным, а обеспечить его доступность, сделать занятия физической культурой и спортом неотъемлемой частью досуга каждой семьи.</w:t>
      </w:r>
    </w:p>
    <w:p w14:paraId="67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Кашинского муниципального округа Тверской области общий охват населения занятиями физкультурой и спортом за 2024 год составил </w:t>
      </w:r>
      <w:r>
        <w:rPr>
          <w:rFonts w:ascii="Times New Roman" w:hAnsi="Times New Roman"/>
          <w:sz w:val="28"/>
        </w:rPr>
        <w:t>45</w:t>
      </w:r>
      <w:r>
        <w:rPr>
          <w:rFonts w:ascii="Times New Roman" w:hAnsi="Times New Roman"/>
          <w:sz w:val="28"/>
        </w:rPr>
        <w:t>,0</w:t>
      </w:r>
      <w:r>
        <w:rPr>
          <w:rFonts w:ascii="Times New Roman" w:hAnsi="Times New Roman"/>
          <w:sz w:val="28"/>
        </w:rPr>
        <w:t xml:space="preserve"> процентов.</w:t>
      </w:r>
    </w:p>
    <w:p w14:paraId="68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Кашинском муниципальном округе Тверской области насчитываются 70 спортивных сооружений, из них: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1 стадион, 39 плоскостных сооружений и 21 спортзал (28 спортивных сооружения находятся в сельской местности).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Кашинском </w:t>
      </w:r>
      <w:r>
        <w:rPr>
          <w:rFonts w:ascii="Times New Roman" w:hAnsi="Times New Roman"/>
          <w:sz w:val="28"/>
        </w:rPr>
        <w:t>муниципальном</w:t>
      </w:r>
      <w:r>
        <w:rPr>
          <w:rFonts w:ascii="Times New Roman" w:hAnsi="Times New Roman"/>
          <w:sz w:val="28"/>
        </w:rPr>
        <w:t xml:space="preserve"> округе трудятся 28 работников по физической культуре и спорту, из них 4 работают в сельской местности.</w:t>
      </w:r>
    </w:p>
    <w:p w14:paraId="69000000">
      <w:pPr>
        <w:spacing w:after="0" w:line="240" w:lineRule="auto"/>
        <w:ind w:firstLine="720" w:left="0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С целью популяризации физической культуры и массового спорта Комитетом по культуре, туризму, спорту и делам молодежи Администрации Кашинского муниципального округа Тверской области (далее - Комитет) совместно </w:t>
      </w:r>
      <w:r>
        <w:rPr>
          <w:rFonts w:ascii="Times New Roman" w:hAnsi="Times New Roman"/>
          <w:sz w:val="28"/>
        </w:rPr>
        <w:t>со  спортивными</w:t>
      </w:r>
      <w:r>
        <w:rPr>
          <w:rFonts w:ascii="Times New Roman" w:hAnsi="Times New Roman"/>
          <w:sz w:val="28"/>
        </w:rPr>
        <w:t xml:space="preserve"> федерациями ежегодно проводится до </w:t>
      </w:r>
      <w:r>
        <w:rPr>
          <w:rFonts w:ascii="Times New Roman" w:hAnsi="Times New Roman"/>
          <w:sz w:val="28"/>
        </w:rPr>
        <w:t>110-115</w:t>
      </w:r>
      <w:r>
        <w:rPr>
          <w:rFonts w:ascii="Times New Roman" w:hAnsi="Times New Roman"/>
          <w:sz w:val="28"/>
        </w:rPr>
        <w:t xml:space="preserve"> спортивно-массовых мероприятий по </w:t>
      </w:r>
      <w:r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 xml:space="preserve"> видам спорта. Ежегодно для привлечения жителей Кашинского </w:t>
      </w:r>
      <w:r>
        <w:rPr>
          <w:rFonts w:ascii="Times New Roman" w:hAnsi="Times New Roman"/>
          <w:sz w:val="28"/>
        </w:rPr>
        <w:t>муниципальном</w:t>
      </w:r>
      <w:r>
        <w:rPr>
          <w:rFonts w:ascii="Times New Roman" w:hAnsi="Times New Roman"/>
          <w:sz w:val="28"/>
        </w:rPr>
        <w:t xml:space="preserve"> округа Тверской области к активным занятиям физической культурой и спортом проводятся спартакиады среди сельских поселений по 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видам спорта, среди сельских общеобразовательных школ – по 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видам спорта, среди учебных заведений – по </w:t>
      </w: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 xml:space="preserve"> видам спорта.</w:t>
      </w:r>
    </w:p>
    <w:p w14:paraId="6A000000">
      <w:pPr>
        <w:spacing w:after="0" w:line="240" w:lineRule="auto"/>
        <w:ind w:firstLine="720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Традиционно проводятся муниципальные этапы спортивно-массовых мероприятий таких как «Лыжня России», «Кросс наций», лыжные соревнования на призы Героя Советского Союза </w:t>
      </w:r>
      <w:r>
        <w:rPr>
          <w:rFonts w:ascii="Times New Roman" w:hAnsi="Times New Roman"/>
          <w:sz w:val="28"/>
        </w:rPr>
        <w:t>Д.В.Кузова</w:t>
      </w:r>
      <w:r>
        <w:rPr>
          <w:rFonts w:ascii="Times New Roman" w:hAnsi="Times New Roman"/>
          <w:sz w:val="28"/>
        </w:rPr>
        <w:t xml:space="preserve">, Почетного гражданина Кашинского района, </w:t>
      </w:r>
      <w:r>
        <w:rPr>
          <w:rFonts w:ascii="Times New Roman" w:hAnsi="Times New Roman"/>
          <w:sz w:val="28"/>
          <w:highlight w:val="white"/>
        </w:rPr>
        <w:t xml:space="preserve">Мастера спорта СССР, </w:t>
      </w:r>
      <w:r>
        <w:rPr>
          <w:rFonts w:ascii="Times New Roman" w:hAnsi="Times New Roman"/>
          <w:sz w:val="28"/>
        </w:rPr>
        <w:t xml:space="preserve">Гомозова Н.М., легкоатлетическая эстафета по городу, легкоатлетический пробег, посвященный Дню Победы 9 Мая. </w:t>
      </w:r>
    </w:p>
    <w:p w14:paraId="6B000000">
      <w:pPr>
        <w:spacing w:after="0" w:line="240" w:lineRule="auto"/>
        <w:ind w:firstLine="720" w:left="0"/>
        <w:jc w:val="both"/>
        <w:outlineLvl w:val="0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Большое внимание в настоящее время уделяется развитию спорта среди инвалидов. В 2024 году людей с ограниченными возможностями здоровья, систематически занимающихся физической культурой и спортом, в общей </w:t>
      </w:r>
      <w:r>
        <w:rPr>
          <w:rFonts w:ascii="Times New Roman" w:hAnsi="Times New Roman"/>
          <w:sz w:val="28"/>
        </w:rPr>
        <w:t>численности  составило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120</w:t>
      </w:r>
      <w:r>
        <w:rPr>
          <w:rFonts w:ascii="Times New Roman" w:hAnsi="Times New Roman"/>
          <w:sz w:val="28"/>
        </w:rPr>
        <w:t xml:space="preserve"> человек. Комитет обеспечил </w:t>
      </w:r>
      <w:r>
        <w:rPr>
          <w:rFonts w:ascii="Times New Roman" w:hAnsi="Times New Roman"/>
          <w:sz w:val="28"/>
        </w:rPr>
        <w:t xml:space="preserve">участие  </w:t>
      </w:r>
      <w:r>
        <w:rPr>
          <w:rFonts w:ascii="Times New Roman" w:hAnsi="Times New Roman"/>
          <w:sz w:val="28"/>
        </w:rPr>
        <w:t>спортсменов</w:t>
      </w:r>
      <w:r>
        <w:rPr>
          <w:rFonts w:ascii="Times New Roman" w:hAnsi="Times New Roman"/>
          <w:sz w:val="28"/>
        </w:rPr>
        <w:t xml:space="preserve"> – инвалидов в ряде областных и всероссийских соревнований, где они показали достойные результаты. </w:t>
      </w:r>
    </w:p>
    <w:p w14:paraId="6C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Одним из приоритетных направлений деятельности Комитета является развитие </w:t>
      </w:r>
      <w:r>
        <w:rPr>
          <w:rFonts w:ascii="Times New Roman" w:hAnsi="Times New Roman"/>
          <w:sz w:val="28"/>
        </w:rPr>
        <w:t>детско</w:t>
      </w:r>
      <w:r>
        <w:rPr>
          <w:rFonts w:ascii="Times New Roman" w:hAnsi="Times New Roman"/>
          <w:sz w:val="28"/>
        </w:rPr>
        <w:t xml:space="preserve"> – юношеского спорта. В настоящее время в системе учреждений дополнительного образования детей спортивной </w:t>
      </w:r>
      <w:r>
        <w:rPr>
          <w:rFonts w:ascii="Times New Roman" w:hAnsi="Times New Roman"/>
          <w:sz w:val="28"/>
        </w:rPr>
        <w:t>направленности  муниципального</w:t>
      </w:r>
      <w:r>
        <w:rPr>
          <w:rFonts w:ascii="Times New Roman" w:hAnsi="Times New Roman"/>
          <w:sz w:val="28"/>
        </w:rPr>
        <w:t xml:space="preserve"> уровня занимается </w:t>
      </w:r>
      <w:r>
        <w:rPr>
          <w:rFonts w:ascii="Times New Roman" w:hAnsi="Times New Roman"/>
          <w:sz w:val="28"/>
        </w:rPr>
        <w:t>700</w:t>
      </w:r>
      <w:r>
        <w:rPr>
          <w:rFonts w:ascii="Times New Roman" w:hAnsi="Times New Roman"/>
          <w:sz w:val="28"/>
        </w:rPr>
        <w:t xml:space="preserve"> человек. </w:t>
      </w:r>
      <w:r>
        <w:rPr>
          <w:rFonts w:ascii="Times New Roman" w:hAnsi="Times New Roman"/>
          <w:sz w:val="28"/>
        </w:rPr>
        <w:t>В Муниципальном бюджетном учреждении дополнительного образования  «Спортивная школа» (далее – МБУ ДО СШ)</w:t>
      </w:r>
      <w:r>
        <w:rPr>
          <w:rFonts w:ascii="Times New Roman" w:hAnsi="Times New Roman"/>
          <w:sz w:val="28"/>
        </w:rPr>
        <w:t xml:space="preserve"> функционируют три отделения (лыжные гонки, единоборства, футбол). Спортсмены спортивной школы достойно представляют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муниципальный</w:t>
      </w:r>
      <w:r>
        <w:rPr>
          <w:rFonts w:ascii="Times New Roman" w:hAnsi="Times New Roman"/>
          <w:sz w:val="28"/>
        </w:rPr>
        <w:t xml:space="preserve"> округ Тверской области в областных, всероссийских и международных соревнованиях. В целях пропаганды физической культуры и спорта, здорового образа жизни Комитет осуществляет информационное взаимодействие со средствами массовой информации.</w:t>
      </w:r>
    </w:p>
    <w:p w14:paraId="6D00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6E00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1.2. Перечень основных проблем в сфере реализации муниципальной программы</w:t>
      </w:r>
    </w:p>
    <w:p w14:paraId="6F000000">
      <w:pPr>
        <w:spacing w:after="0" w:line="240" w:lineRule="auto"/>
        <w:ind w:right="-1"/>
        <w:jc w:val="center"/>
        <w:rPr>
          <w:rFonts w:ascii="Times New Roman" w:hAnsi="Times New Roman"/>
          <w:sz w:val="28"/>
        </w:rPr>
      </w:pPr>
    </w:p>
    <w:p w14:paraId="70000000">
      <w:pPr>
        <w:pStyle w:val="Style_4"/>
        <w:spacing w:after="0" w:line="240" w:lineRule="auto"/>
        <w:ind w:firstLine="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Несмотря на позитивные изменения, произошедшие за последние </w:t>
      </w:r>
      <w:r>
        <w:rPr>
          <w:rFonts w:ascii="Times New Roman" w:hAnsi="Times New Roman"/>
          <w:sz w:val="28"/>
        </w:rPr>
        <w:t>годы,  имеется</w:t>
      </w:r>
      <w:r>
        <w:rPr>
          <w:rFonts w:ascii="Times New Roman" w:hAnsi="Times New Roman"/>
          <w:sz w:val="28"/>
        </w:rPr>
        <w:t xml:space="preserve"> ряд проблем, влияющих на развитие физической культуры и спорта в Кашинском </w:t>
      </w:r>
      <w:r>
        <w:rPr>
          <w:rFonts w:ascii="Times New Roman" w:hAnsi="Times New Roman"/>
          <w:sz w:val="28"/>
        </w:rPr>
        <w:t>муниципальном</w:t>
      </w:r>
      <w:r>
        <w:rPr>
          <w:rFonts w:ascii="Times New Roman" w:hAnsi="Times New Roman"/>
          <w:sz w:val="28"/>
        </w:rPr>
        <w:t xml:space="preserve"> округе Тверской области, которые требуют неотложного решения.</w:t>
      </w:r>
    </w:p>
    <w:p w14:paraId="71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1.2.1. Незначительная доля населения Кашинского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округа Тверской области, систематически занимающегося физической культурой и массовым спортом, в общей численности жителей. По итогам 2024 года </w:t>
      </w:r>
      <w:r>
        <w:rPr>
          <w:rFonts w:ascii="Times New Roman" w:hAnsi="Times New Roman"/>
          <w:sz w:val="28"/>
        </w:rPr>
        <w:t>численность населения</w:t>
      </w:r>
      <w:r>
        <w:rPr>
          <w:rFonts w:ascii="Times New Roman" w:hAnsi="Times New Roman"/>
          <w:sz w:val="28"/>
        </w:rPr>
        <w:t xml:space="preserve"> систематически занимающегося физической культурой и спортом, составила 45 % от общей численности населения Кашинского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округа Тверской области. </w:t>
      </w:r>
    </w:p>
    <w:p w14:paraId="72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Такая ситуация вызвана несколькими факторами: износ основных фондов спортивных учреждений, невысокий уровень благосостояния населения на территории Кашинского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округа Тверской области, недостаточный объем средств, выделяемых на проведение массовых </w:t>
      </w:r>
      <w:r>
        <w:rPr>
          <w:rFonts w:ascii="Times New Roman" w:hAnsi="Times New Roman"/>
          <w:sz w:val="28"/>
        </w:rPr>
        <w:t>физкультурно</w:t>
      </w:r>
      <w:r>
        <w:rPr>
          <w:rFonts w:ascii="Times New Roman" w:hAnsi="Times New Roman"/>
          <w:sz w:val="28"/>
        </w:rPr>
        <w:t xml:space="preserve"> – спортивных мероприятий на муниципальном уровне, неэффективное информационное обеспечение и пропаганда физической культуры и спорта.</w:t>
      </w:r>
    </w:p>
    <w:p w14:paraId="73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Недостаточный охват детей и подростков в возрасте от 6 до 15 лет, занимающихся в системе учреждений дополнительного образования спортивной направленности. В 2024 году количество занимающихся физической культурой и спортом в системе государственных и муниципальных учреждений дополнительного образования детей спортивной направленности составило 700 человек, или лишь 23,3 % от общей численности данной возрастной группы. </w:t>
      </w:r>
    </w:p>
    <w:p w14:paraId="74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Причинами сложившейся ситуации является узость сети спортивной школы, ограниченность площадей её материально – технической базы, дефицит спортивного инвентаря и оборудования,  недостаточное количество </w:t>
      </w:r>
      <w:r>
        <w:rPr>
          <w:rFonts w:ascii="Times New Roman" w:hAnsi="Times New Roman"/>
          <w:sz w:val="28"/>
        </w:rPr>
        <w:t>тренеров – преподавателей и специалистов физической культуры и спорта, имеющих высшее и среднее специальное образование.</w:t>
      </w:r>
    </w:p>
    <w:p w14:paraId="75000000">
      <w:pPr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Ограниченные условия для развития адаптивной физической культуры и спорта, как эффективного средства социальной и физической адаптации людей с ограниченными физическими возможностями</w:t>
      </w:r>
      <w:r>
        <w:t xml:space="preserve">. </w:t>
      </w:r>
      <w:r>
        <w:rPr>
          <w:rFonts w:ascii="Times New Roman" w:hAnsi="Times New Roman"/>
          <w:sz w:val="28"/>
        </w:rPr>
        <w:t xml:space="preserve">Узкая сеть спортивных сооружений и объектов в городском округе, ограниченные возможности их материально–технической базы. </w:t>
      </w:r>
    </w:p>
    <w:p w14:paraId="76000000">
      <w:pPr>
        <w:pStyle w:val="Style_5"/>
        <w:spacing w:after="0" w:line="240" w:lineRule="auto"/>
        <w:ind w:firstLine="0" w:left="0"/>
        <w:rPr>
          <w:rFonts w:ascii="Times New Roman" w:hAnsi="Times New Roman"/>
          <w:sz w:val="28"/>
        </w:rPr>
      </w:pPr>
    </w:p>
    <w:p w14:paraId="77000000">
      <w:pPr>
        <w:pStyle w:val="Style_5"/>
        <w:spacing w:after="0" w:line="240" w:lineRule="auto"/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1.3. Основные направления решения проблем в области физической культуры и спорта</w:t>
      </w:r>
    </w:p>
    <w:p w14:paraId="78000000">
      <w:pPr>
        <w:pStyle w:val="Style_5"/>
        <w:spacing w:after="0" w:line="240" w:lineRule="auto"/>
        <w:ind/>
        <w:rPr>
          <w:rFonts w:ascii="Times New Roman" w:hAnsi="Times New Roman"/>
          <w:sz w:val="28"/>
        </w:rPr>
      </w:pPr>
    </w:p>
    <w:p w14:paraId="79000000">
      <w:pPr>
        <w:pStyle w:val="Style_4"/>
        <w:spacing w:after="0" w:line="240" w:lineRule="auto"/>
        <w:ind w:firstLine="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решения выше </w:t>
      </w:r>
      <w:r>
        <w:rPr>
          <w:rFonts w:ascii="Times New Roman" w:hAnsi="Times New Roman"/>
          <w:sz w:val="28"/>
        </w:rPr>
        <w:t>перечисленных  проблем</w:t>
      </w:r>
      <w:r>
        <w:rPr>
          <w:rFonts w:ascii="Times New Roman" w:hAnsi="Times New Roman"/>
          <w:sz w:val="28"/>
        </w:rPr>
        <w:t xml:space="preserve"> необходимо усилить  работу по следующим направлениям: </w:t>
      </w:r>
    </w:p>
    <w:p w14:paraId="7A000000">
      <w:pPr>
        <w:pStyle w:val="Style_4"/>
        <w:spacing w:after="0" w:line="240" w:lineRule="auto"/>
        <w:ind w:firstLine="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1.3.1. Увеличение количества проводимых спортивно–массовых мероприятий, направленных на физическое воспитание и оздоровление всех категорий и возрастных групп населения Кашинского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округа Тверской области; обеспечение развития спорта среди лиц с ограниченными возможностями здоровья и инвалидов; улучшение информационного обеспечения, повышение эффективности пропаганды физической культуры и спорта, спортивного здорового образа жизни в рамках социального заказа муниципальным средствам массовой информации.</w:t>
      </w:r>
    </w:p>
    <w:p w14:paraId="7B000000">
      <w:pPr>
        <w:pStyle w:val="Style_4"/>
        <w:spacing w:after="0" w:line="240" w:lineRule="auto"/>
        <w:ind w:firstLine="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1.3.2. Расширение спортивных отделений учреждения дополнительного образования спортивной направленности; укрепление и развитие её материально–технической базы; обеспечение подготовки высококвалифицированного </w:t>
      </w:r>
      <w:r>
        <w:rPr>
          <w:rFonts w:ascii="Times New Roman" w:hAnsi="Times New Roman"/>
          <w:sz w:val="28"/>
        </w:rPr>
        <w:t>тренерско</w:t>
      </w:r>
      <w:r>
        <w:rPr>
          <w:rFonts w:ascii="Times New Roman" w:hAnsi="Times New Roman"/>
          <w:sz w:val="28"/>
        </w:rPr>
        <w:t>–преподавательского состава и стимулирование их трудовой деятельности.</w:t>
      </w:r>
    </w:p>
    <w:p w14:paraId="7C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1.3.3.  Обеспечение качественного тренировочного </w:t>
      </w:r>
      <w:r>
        <w:rPr>
          <w:rFonts w:ascii="Times New Roman" w:hAnsi="Times New Roman"/>
          <w:sz w:val="28"/>
        </w:rPr>
        <w:t>процесса;  создание</w:t>
      </w:r>
      <w:r>
        <w:rPr>
          <w:rFonts w:ascii="Times New Roman" w:hAnsi="Times New Roman"/>
          <w:sz w:val="28"/>
        </w:rPr>
        <w:t xml:space="preserve"> условий для достойного выступления </w:t>
      </w:r>
      <w:r>
        <w:rPr>
          <w:rFonts w:ascii="Times New Roman" w:hAnsi="Times New Roman"/>
          <w:sz w:val="28"/>
        </w:rPr>
        <w:t>кашинских</w:t>
      </w:r>
      <w:r>
        <w:rPr>
          <w:rFonts w:ascii="Times New Roman" w:hAnsi="Times New Roman"/>
          <w:sz w:val="28"/>
        </w:rPr>
        <w:t xml:space="preserve"> спортсменов и сборных команд Кашинского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округа </w:t>
      </w:r>
      <w:r>
        <w:rPr>
          <w:rFonts w:ascii="Times New Roman" w:hAnsi="Times New Roman"/>
          <w:sz w:val="28"/>
        </w:rPr>
        <w:t xml:space="preserve">Тверской области </w:t>
      </w:r>
      <w:r>
        <w:rPr>
          <w:rFonts w:ascii="Times New Roman" w:hAnsi="Times New Roman"/>
          <w:sz w:val="28"/>
        </w:rPr>
        <w:t xml:space="preserve">на соревнованиях областного и всероссийских уровней; стимулирование деятельности спортсменов и тренеров, а также поддержки спортсменов Кашинского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округа </w:t>
      </w:r>
      <w:r>
        <w:rPr>
          <w:rFonts w:ascii="Times New Roman" w:hAnsi="Times New Roman"/>
          <w:sz w:val="28"/>
        </w:rPr>
        <w:t xml:space="preserve">Тверской области </w:t>
      </w:r>
      <w:r>
        <w:rPr>
          <w:rFonts w:ascii="Times New Roman" w:hAnsi="Times New Roman"/>
          <w:sz w:val="28"/>
        </w:rPr>
        <w:t>в международных соревнованиях.</w:t>
      </w:r>
    </w:p>
    <w:p w14:paraId="7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1.3.4. Развитие спортивно – оздоровительной инфраструктуры на </w:t>
      </w:r>
      <w:r>
        <w:rPr>
          <w:rFonts w:ascii="Times New Roman" w:hAnsi="Times New Roman"/>
          <w:sz w:val="28"/>
        </w:rPr>
        <w:t>территории  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округа </w:t>
      </w:r>
      <w:r>
        <w:rPr>
          <w:rFonts w:ascii="Times New Roman" w:hAnsi="Times New Roman"/>
          <w:sz w:val="28"/>
        </w:rPr>
        <w:t>Тверской области</w:t>
      </w:r>
      <w:r>
        <w:rPr>
          <w:rFonts w:ascii="Times New Roman" w:hAnsi="Times New Roman"/>
          <w:sz w:val="28"/>
        </w:rPr>
        <w:t>.</w:t>
      </w:r>
    </w:p>
    <w:p w14:paraId="7E00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7F00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 Цели муниципальной программы</w:t>
      </w:r>
    </w:p>
    <w:p w14:paraId="80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81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Основной целью </w:t>
      </w:r>
      <w:r>
        <w:rPr>
          <w:rFonts w:ascii="Times New Roman" w:hAnsi="Times New Roman"/>
          <w:sz w:val="28"/>
        </w:rPr>
        <w:t>настоящей  муниципальной</w:t>
      </w:r>
      <w:r>
        <w:rPr>
          <w:rFonts w:ascii="Times New Roman" w:hAnsi="Times New Roman"/>
          <w:sz w:val="28"/>
        </w:rPr>
        <w:t xml:space="preserve"> программы является  создание условий для максимального вовлечения населения на территории Кашинского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округа </w:t>
      </w:r>
      <w:r>
        <w:rPr>
          <w:rFonts w:ascii="Times New Roman" w:hAnsi="Times New Roman"/>
          <w:sz w:val="28"/>
        </w:rPr>
        <w:t xml:space="preserve">Тверской области </w:t>
      </w:r>
      <w:r>
        <w:rPr>
          <w:rFonts w:ascii="Times New Roman" w:hAnsi="Times New Roman"/>
          <w:sz w:val="28"/>
        </w:rPr>
        <w:t>в систематические занятия физической культурой и спортом и укрепление материально – технической базы учреждений  объектов спортивной направленности.</w:t>
      </w:r>
    </w:p>
    <w:p w14:paraId="82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Ключевыми показателями, характеризующими степень достижения цели муниципальной программы, являются:</w:t>
      </w:r>
    </w:p>
    <w:p w14:paraId="83000000">
      <w:pPr>
        <w:widowControl w:val="0"/>
        <w:numPr>
          <w:ilvl w:val="0"/>
          <w:numId w:val="2"/>
        </w:numPr>
        <w:spacing w:after="0" w:line="240" w:lineRule="auto"/>
        <w:ind w:firstLine="42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Доля детей и молодежи (возраст 3 - 29 лет), систематически занимающихся физической культурой и спортом, в общей численности детей и молодежи: 2025 – </w:t>
      </w:r>
      <w:r>
        <w:rPr>
          <w:rFonts w:ascii="Times New Roman" w:hAnsi="Times New Roman"/>
          <w:sz w:val="28"/>
        </w:rPr>
        <w:t>87,7%, 2026 – 89,2%, 2027 –90,7%, 2028 – 92,2%, 2029 – 93,7%, 2030 - 94,7%.</w:t>
      </w:r>
    </w:p>
    <w:p w14:paraId="84000000">
      <w:pPr>
        <w:spacing w:after="0" w:line="240" w:lineRule="auto"/>
        <w:ind w:firstLine="4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Доля граждан среднего возраста (женщины: 30 - 54 года; мужчины: 30 - 59 лет), систематически занимающихся физической культурой и спортом, в общей численности граждан среднего возраста:  2025 – 33,53%, 2026 – 34,23%, 2027 – 34,93%, 2028 – 35,63%, 2029 – 36,33%, 2030 - 37,03%.</w:t>
      </w:r>
    </w:p>
    <w:p w14:paraId="85000000">
      <w:pPr>
        <w:spacing w:after="0" w:line="240" w:lineRule="auto"/>
        <w:ind w:firstLine="4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Доля граждан старшего возраста (женщины: 55 - 79 лет; 60 - 79 лет), систематически занимающихся физической культурой и спортом, в общей численности граждан старшего </w:t>
      </w:r>
      <w:r>
        <w:rPr>
          <w:rFonts w:ascii="Times New Roman" w:hAnsi="Times New Roman"/>
          <w:sz w:val="28"/>
        </w:rPr>
        <w:t>возраста:  2025</w:t>
      </w:r>
      <w:r>
        <w:rPr>
          <w:rFonts w:ascii="Times New Roman" w:hAnsi="Times New Roman"/>
          <w:sz w:val="28"/>
        </w:rPr>
        <w:t xml:space="preserve"> – 13,16%, 2026 – 13,76%, 2027 – 14,36%, 2028 – 14,96%, 2029 -  15,56%, 2030 - 16,16%.</w:t>
      </w:r>
    </w:p>
    <w:p w14:paraId="86000000">
      <w:pPr>
        <w:spacing w:after="0" w:line="240" w:lineRule="auto"/>
        <w:ind w:firstLine="4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Уровень обеспеченности граждан спортивными сооружениями, исходя из единовременной пропускной способности объектов </w:t>
      </w:r>
      <w:r>
        <w:rPr>
          <w:rFonts w:ascii="Times New Roman" w:hAnsi="Times New Roman"/>
          <w:sz w:val="28"/>
        </w:rPr>
        <w:t>спорта:  2025</w:t>
      </w:r>
      <w:r>
        <w:rPr>
          <w:rFonts w:ascii="Times New Roman" w:hAnsi="Times New Roman"/>
          <w:sz w:val="28"/>
        </w:rPr>
        <w:t xml:space="preserve"> – 57,3%, 2026 – 58,2%, 2027 – 59,1%, 2028 – 60%, 2029 -  60,9%, 2030 - 61,8%.</w:t>
      </w:r>
    </w:p>
    <w:p w14:paraId="87000000">
      <w:pPr>
        <w:spacing w:after="0" w:line="240" w:lineRule="auto"/>
        <w:ind w:firstLine="4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Доля занимающихся по программам спортивной подготовки в организациях ведомственной принадлежности в сфере физической культуры и спорта, в общем количестве занимающихся в организациях ведомственной принадлежности в сфере физической культуры и спорта: 2025 – 64,9%, 2026 – 65,4%, 2027 – 65,9%, 2028 – 66,4%, 2029 -  66,9%, 2030 - 67,4%.</w:t>
      </w:r>
    </w:p>
    <w:p w14:paraId="88000000">
      <w:pPr>
        <w:spacing w:after="0" w:line="240" w:lineRule="auto"/>
        <w:ind w:firstLine="46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Доля населения, выполнившего нормативы испытаний (тестов) Всероссийского </w:t>
      </w:r>
      <w:r>
        <w:rPr>
          <w:rFonts w:ascii="Times New Roman" w:hAnsi="Times New Roman"/>
          <w:sz w:val="28"/>
        </w:rPr>
        <w:t>физкультурно</w:t>
      </w:r>
      <w:r>
        <w:rPr>
          <w:rFonts w:ascii="Times New Roman" w:hAnsi="Times New Roman"/>
          <w:sz w:val="28"/>
        </w:rPr>
        <w:t xml:space="preserve"> - спортивного комплекса «Готов к труду и обороне» (ГТО), в общей численности населения, принявшего участие в испытаниях (тестах): 2025 – 69,5%, 2026 – 71%, 2027 – 72,5%, 2028 – 75%, 2029 – 76,5%, 2030 - 78%.</w:t>
      </w:r>
    </w:p>
    <w:p w14:paraId="8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достижения целей в рамках реализации муниципальной программы предусматривается выполнение следующих подпрограмм:</w:t>
      </w:r>
    </w:p>
    <w:p w14:paraId="8A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«Создание условий для занятий населения физической культурой и спортом»;</w:t>
      </w:r>
    </w:p>
    <w:p w14:paraId="8B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«Обеспечение функционирования спортивных объектов» (МУ «Стадион»).</w:t>
      </w:r>
    </w:p>
    <w:p w14:paraId="8C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</w:p>
    <w:p w14:paraId="8D00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3. Подпрограмма </w:t>
      </w:r>
      <w:r>
        <w:rPr>
          <w:rFonts w:ascii="Times New Roman" w:hAnsi="Times New Roman"/>
          <w:b w:val="1"/>
          <w:sz w:val="28"/>
        </w:rPr>
        <w:t>1  «</w:t>
      </w:r>
      <w:r>
        <w:rPr>
          <w:rFonts w:ascii="Times New Roman" w:hAnsi="Times New Roman"/>
          <w:b w:val="1"/>
          <w:sz w:val="28"/>
        </w:rPr>
        <w:t>Создание условий для занятий населения физической культурой и спортом»</w:t>
      </w:r>
    </w:p>
    <w:p w14:paraId="8E00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</w:p>
    <w:p w14:paraId="8F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3.1. Задачи подпрограммы</w:t>
      </w:r>
    </w:p>
    <w:p w14:paraId="90000000">
      <w:pPr>
        <w:spacing w:after="0" w:line="240" w:lineRule="auto"/>
        <w:ind w:firstLine="720" w:left="0"/>
        <w:jc w:val="center"/>
        <w:rPr>
          <w:rFonts w:ascii="Times New Roman" w:hAnsi="Times New Roman"/>
          <w:sz w:val="28"/>
        </w:rPr>
      </w:pPr>
    </w:p>
    <w:p w14:paraId="91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1 «Создание условий для занятий населения физической культурой и спортом» (далее – подпрограмма 1</w:t>
      </w:r>
      <w:r>
        <w:rPr>
          <w:rFonts w:ascii="Times New Roman" w:hAnsi="Times New Roman"/>
          <w:sz w:val="28"/>
        </w:rPr>
        <w:t>)  связана</w:t>
      </w:r>
      <w:r>
        <w:rPr>
          <w:rFonts w:ascii="Times New Roman" w:hAnsi="Times New Roman"/>
          <w:sz w:val="28"/>
        </w:rPr>
        <w:t xml:space="preserve"> с решением следующих задач:</w:t>
      </w:r>
    </w:p>
    <w:p w14:paraId="92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Задача 1. «Развитие массового спорта и физкультурно-оздоровительного движения среди всех возрастных групп и категорий населения на территории Кашинского муниципального округа Тверской области, включая лиц с </w:t>
      </w:r>
      <w:r>
        <w:rPr>
          <w:rFonts w:ascii="Times New Roman" w:hAnsi="Times New Roman"/>
          <w:sz w:val="28"/>
        </w:rPr>
        <w:t>ограниченными физическими возможностями и инвалидов в муниципальном образовании».</w:t>
      </w:r>
    </w:p>
    <w:p w14:paraId="93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Показателем задачи 1 подпрограммы 1 является «Количество </w:t>
      </w:r>
      <w:r>
        <w:rPr>
          <w:rFonts w:ascii="Times New Roman" w:hAnsi="Times New Roman"/>
          <w:sz w:val="28"/>
        </w:rPr>
        <w:t>физкультурно</w:t>
      </w:r>
      <w:r>
        <w:rPr>
          <w:rFonts w:ascii="Times New Roman" w:hAnsi="Times New Roman"/>
          <w:sz w:val="28"/>
        </w:rPr>
        <w:t xml:space="preserve"> – оздоровительных объектов и спортивных залов, получивших материальную поддержку»;</w:t>
      </w:r>
    </w:p>
    <w:p w14:paraId="94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Показателем задачи 1 подпрограммы 1 является «Доля расходов </w:t>
      </w: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sz w:val="28"/>
        </w:rPr>
        <w:t xml:space="preserve">, предусмотренных в рамках </w:t>
      </w:r>
      <w:r>
        <w:rPr>
          <w:rFonts w:ascii="Times New Roman" w:hAnsi="Times New Roman"/>
          <w:sz w:val="28"/>
        </w:rPr>
        <w:t>муниципальной  программы</w:t>
      </w:r>
      <w:r>
        <w:rPr>
          <w:rFonts w:ascii="Times New Roman" w:hAnsi="Times New Roman"/>
          <w:sz w:val="28"/>
        </w:rPr>
        <w:t>».</w:t>
      </w:r>
    </w:p>
    <w:p w14:paraId="95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Задача 2. «Организация участия спортсменов и сборных команд </w:t>
      </w: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sz w:val="28"/>
        </w:rPr>
        <w:t xml:space="preserve"> в областных, всероссийских и международных соревнованиях».</w:t>
      </w:r>
    </w:p>
    <w:p w14:paraId="96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Показателем задачи 2 подпрограммы 1 является «Доля расходов </w:t>
      </w: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sz w:val="28"/>
        </w:rPr>
        <w:t xml:space="preserve">, предусмотренных в рамках </w:t>
      </w:r>
      <w:r>
        <w:rPr>
          <w:rFonts w:ascii="Times New Roman" w:hAnsi="Times New Roman"/>
          <w:sz w:val="28"/>
        </w:rPr>
        <w:t>муниципальной  программы</w:t>
      </w:r>
      <w:r>
        <w:rPr>
          <w:rFonts w:ascii="Times New Roman" w:hAnsi="Times New Roman"/>
          <w:sz w:val="28"/>
        </w:rPr>
        <w:t>»;</w:t>
      </w:r>
    </w:p>
    <w:p w14:paraId="97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Показателем задачи 2 подпрограммы 1 является «Количество спортсменов и сборных </w:t>
      </w:r>
      <w:r>
        <w:rPr>
          <w:rFonts w:ascii="Times New Roman" w:hAnsi="Times New Roman"/>
          <w:sz w:val="28"/>
        </w:rPr>
        <w:t xml:space="preserve">команд  </w:t>
      </w: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sz w:val="28"/>
        </w:rPr>
        <w:t>, принявших участие в областных, всероссийских и международных соревнованиях».</w:t>
      </w:r>
    </w:p>
    <w:p w14:paraId="98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Задача 3. «Реализация федерального </w:t>
      </w:r>
      <w:r>
        <w:rPr>
          <w:rFonts w:ascii="Times New Roman" w:hAnsi="Times New Roman"/>
          <w:sz w:val="28"/>
        </w:rPr>
        <w:t>проекта  «</w:t>
      </w:r>
      <w:r>
        <w:rPr>
          <w:rFonts w:ascii="Times New Roman" w:hAnsi="Times New Roman"/>
          <w:sz w:val="28"/>
        </w:rPr>
        <w:t>Спорт - норма жизни» национального проекта  «Демография»».</w:t>
      </w:r>
    </w:p>
    <w:p w14:paraId="99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задачи 3 подпрограммы 1 является «Количество введенных объектов спортивной направленности».</w:t>
      </w:r>
    </w:p>
    <w:p w14:paraId="9A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Задача 4. «Реализация Программы поддержки местных инициатив в Тверской области».</w:t>
      </w:r>
    </w:p>
    <w:p w14:paraId="9B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 задачи</w:t>
      </w:r>
      <w:r>
        <w:rPr>
          <w:rFonts w:ascii="Times New Roman" w:hAnsi="Times New Roman"/>
          <w:sz w:val="28"/>
        </w:rPr>
        <w:t xml:space="preserve"> 4 подпрограммы 1 является «Количество   реализованных проектов».          </w:t>
      </w:r>
    </w:p>
    <w:p w14:paraId="9C000000">
      <w:pPr>
        <w:tabs>
          <w:tab w:leader="none" w:pos="5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Значения показателей задач подпрограммы 1 по годам реализации муниципальной программы приведены в приложении 1 к муниципальной программе.</w:t>
      </w:r>
    </w:p>
    <w:p w14:paraId="9D000000">
      <w:pPr>
        <w:tabs>
          <w:tab w:leader="none" w:pos="5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Описание характеристик показателей задач подпрограммы 1 приведены в приложении 1 к муниципальной программе.</w:t>
      </w:r>
    </w:p>
    <w:p w14:paraId="9E000000">
      <w:pPr>
        <w:tabs>
          <w:tab w:leader="none" w:pos="5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9F000000">
      <w:pPr>
        <w:spacing w:after="0" w:line="240" w:lineRule="auto"/>
        <w:ind w:right="-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3.2.  Мероприятия подпрограммы</w:t>
      </w:r>
    </w:p>
    <w:p w14:paraId="A0000000">
      <w:pPr>
        <w:spacing w:after="0" w:line="240" w:lineRule="auto"/>
        <w:ind w:right="-1"/>
        <w:jc w:val="center"/>
        <w:rPr>
          <w:rFonts w:ascii="Times New Roman" w:hAnsi="Times New Roman"/>
          <w:sz w:val="28"/>
        </w:rPr>
      </w:pPr>
    </w:p>
    <w:p w14:paraId="A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подпрограммы 1 «Развитие массового спорта и </w:t>
      </w:r>
      <w:r>
        <w:rPr>
          <w:rFonts w:ascii="Times New Roman" w:hAnsi="Times New Roman"/>
          <w:sz w:val="28"/>
        </w:rPr>
        <w:t>физкультурно</w:t>
      </w:r>
      <w:r>
        <w:rPr>
          <w:rFonts w:ascii="Times New Roman" w:hAnsi="Times New Roman"/>
          <w:sz w:val="28"/>
        </w:rPr>
        <w:t xml:space="preserve">–оздоровительного движения среди всех возрастных групп и категорий населения на территории </w:t>
      </w: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sz w:val="28"/>
        </w:rPr>
        <w:t>, включая лиц с ограниченными физическими возможностями и инвалидов в муниципальном образовании» осуществляется посредством выполнения следующих мероприятий:</w:t>
      </w:r>
    </w:p>
    <w:p w14:paraId="A2000000">
      <w:pPr>
        <w:pStyle w:val="Style_4"/>
        <w:spacing w:after="0" w:line="240" w:lineRule="auto"/>
        <w:ind w:firstLine="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мероприятие подпрограммы 1 «Организация проведения спортивно–массовых мероприятий и соревнований, направленных на физическое воспитание детей, подростков и молодежи, привлечение к спортивному, здоровому образу жизни взрослого населения, инвалидов и ветеранов в рамках </w:t>
      </w:r>
      <w:r>
        <w:rPr>
          <w:rFonts w:ascii="Times New Roman" w:hAnsi="Times New Roman"/>
          <w:sz w:val="28"/>
        </w:rPr>
        <w:t>Единого календарного плана муниципальных и областных спортивно-массовых мероприятий»;</w:t>
      </w:r>
    </w:p>
    <w:p w14:paraId="A3000000">
      <w:pPr>
        <w:pStyle w:val="Style_4"/>
        <w:spacing w:after="0" w:line="240" w:lineRule="auto"/>
        <w:ind w:firstLine="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мероприятия подпрограммы 1 является «Количество проведенных спортивно–массовых, физкультурно-оздоровительных мероприятий, соревнований и турниров»;</w:t>
      </w:r>
    </w:p>
    <w:p w14:paraId="A4000000">
      <w:pPr>
        <w:pStyle w:val="Style_4"/>
        <w:spacing w:after="0" w:line="240" w:lineRule="auto"/>
        <w:ind w:firstLine="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показателем мероприятия подпрограммы 1 является «Количество участников спортивно–массовых, </w:t>
      </w:r>
      <w:r>
        <w:rPr>
          <w:rFonts w:ascii="Times New Roman" w:hAnsi="Times New Roman"/>
          <w:sz w:val="28"/>
        </w:rPr>
        <w:t>физкультурно</w:t>
      </w:r>
      <w:r>
        <w:rPr>
          <w:rFonts w:ascii="Times New Roman" w:hAnsi="Times New Roman"/>
          <w:sz w:val="28"/>
        </w:rPr>
        <w:t>–оздоровительных мероприятий, соревнований и турниров»;</w:t>
      </w:r>
    </w:p>
    <w:p w14:paraId="A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административное мероприятие подпрограммы 1 «Обеспечение доступности населения </w:t>
      </w: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sz w:val="28"/>
        </w:rPr>
        <w:t xml:space="preserve"> в муниципальные физкультурно-оздоровительные объекты и спортивные залы»;</w:t>
      </w:r>
    </w:p>
    <w:p w14:paraId="A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показателем мероприятия подпрограммы 1 является «Количество муниципальных </w:t>
      </w:r>
      <w:r>
        <w:rPr>
          <w:rFonts w:ascii="Times New Roman" w:hAnsi="Times New Roman"/>
          <w:sz w:val="28"/>
        </w:rPr>
        <w:t>физкультурно</w:t>
      </w:r>
      <w:r>
        <w:rPr>
          <w:rFonts w:ascii="Times New Roman" w:hAnsi="Times New Roman"/>
          <w:sz w:val="28"/>
        </w:rPr>
        <w:t xml:space="preserve"> – оздоровительных объектов и спортивных залов»;</w:t>
      </w:r>
    </w:p>
    <w:p w14:paraId="A7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показателем мероприятия подпрограммы 1 является «Количество человек посетивших муниципальные </w:t>
      </w:r>
      <w:r>
        <w:rPr>
          <w:rFonts w:ascii="Times New Roman" w:hAnsi="Times New Roman"/>
          <w:sz w:val="28"/>
        </w:rPr>
        <w:t>физкультурно</w:t>
      </w:r>
      <w:r>
        <w:rPr>
          <w:rFonts w:ascii="Times New Roman" w:hAnsi="Times New Roman"/>
          <w:sz w:val="28"/>
        </w:rPr>
        <w:t xml:space="preserve"> – оздоровительные объекты и спортивные залы»;</w:t>
      </w:r>
    </w:p>
    <w:p w14:paraId="A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административное мероприятие подпрограммы 1 «Информационное обеспечение, пропаганда физической культуры и массового спорта, спортивного здорового образа жизни через средства массовой информации»;</w:t>
      </w:r>
    </w:p>
    <w:p w14:paraId="A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мероприятия подпрограммы 1 является «Количество публикаций в СМИ (печатные издания и интернет-ресурсы)»;</w:t>
      </w:r>
    </w:p>
    <w:p w14:paraId="AA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административное мероприятие подпрограммы 1 «Проведение социологических опросов среди различных целевых групп населения по удовлетворенности предоставляемых услуг в сфере физической культуры и спорта»;</w:t>
      </w:r>
    </w:p>
    <w:p w14:paraId="AB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мероприятия подпрограммы 1 является «Уровень удовлетворенности населения качеством предоставляемых услуг в сфере физической культуры и спорта»;</w:t>
      </w:r>
    </w:p>
    <w:p w14:paraId="AC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мероприятий задачи 1 подпрограммы 1, указанных в подпункте «а» настоящей муниципальной программы, осуществляется </w:t>
      </w:r>
      <w:r>
        <w:rPr>
          <w:rFonts w:ascii="Times New Roman" w:hAnsi="Times New Roman"/>
          <w:sz w:val="28"/>
        </w:rPr>
        <w:t>из  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sz w:val="28"/>
        </w:rPr>
        <w:t xml:space="preserve">. </w:t>
      </w:r>
    </w:p>
    <w:p w14:paraId="AD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</w:t>
      </w:r>
      <w:r>
        <w:rPr>
          <w:rFonts w:ascii="Times New Roman" w:hAnsi="Times New Roman"/>
          <w:sz w:val="28"/>
        </w:rPr>
        <w:t>задачи  2</w:t>
      </w:r>
      <w:r>
        <w:rPr>
          <w:rFonts w:ascii="Times New Roman" w:hAnsi="Times New Roman"/>
          <w:sz w:val="28"/>
        </w:rPr>
        <w:t xml:space="preserve"> подпрограммы 1 «Организация участия спортсменов и сборных команд </w:t>
      </w: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sz w:val="28"/>
        </w:rPr>
        <w:t xml:space="preserve"> в областных, всероссийских и международных соревнованиях» осуществляется посредством выполнения следующих мероприятий:</w:t>
      </w:r>
    </w:p>
    <w:p w14:paraId="A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1 «</w:t>
      </w:r>
      <w:r>
        <w:rPr>
          <w:rFonts w:ascii="Times New Roman" w:hAnsi="Times New Roman"/>
          <w:sz w:val="28"/>
        </w:rPr>
        <w:t>Профессиональная  подготовка</w:t>
      </w:r>
      <w:r>
        <w:rPr>
          <w:rFonts w:ascii="Times New Roman" w:hAnsi="Times New Roman"/>
          <w:sz w:val="28"/>
        </w:rPr>
        <w:t xml:space="preserve"> и участие спортсменов и сборных команд в областных, всероссийских и международных соревнованиях»;</w:t>
      </w:r>
    </w:p>
    <w:p w14:paraId="A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мероприятия подпрограммы 1 является «Количество подготовленных профессиональных спортсменов и сборных команд для участия в областных, всероссийских и международных соревнованиях»;</w:t>
      </w:r>
    </w:p>
    <w:p w14:paraId="B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показателем мероприятия подпрограммы 1 является «Количество мероприятий областных, всероссийских и международных соревнований в </w:t>
      </w:r>
      <w:r>
        <w:rPr>
          <w:rFonts w:ascii="Times New Roman" w:hAnsi="Times New Roman"/>
          <w:sz w:val="28"/>
        </w:rPr>
        <w:t xml:space="preserve">которых приняли участие спортсмены и сборные команды </w:t>
      </w: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sz w:val="28"/>
        </w:rPr>
        <w:t>»;</w:t>
      </w:r>
    </w:p>
    <w:p w14:paraId="B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подпрограммы 1 «Организация освещения результатов участия спортсменов и сборных команд в областных, всероссийских и международных соревнованиях в СМИ».</w:t>
      </w:r>
    </w:p>
    <w:p w14:paraId="B2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мероприятия подпрограммы 1 является «Количество публикаций».</w:t>
      </w:r>
    </w:p>
    <w:p w14:paraId="B3000000">
      <w:pPr>
        <w:spacing w:after="0" w:line="24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Реализация мероприятий задачи 2 подпрограммы 1, указанных в подпункте «а», настоящей муниципальной программы, осуществляется из бюджета </w:t>
      </w: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color w:themeColor="text1" w:val="000000"/>
          <w:sz w:val="28"/>
        </w:rPr>
        <w:t>.</w:t>
      </w:r>
    </w:p>
    <w:p w14:paraId="B4000000">
      <w:pPr>
        <w:spacing w:after="0" w:line="24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Решение задачи 3 подпрограммы 1 «</w:t>
      </w:r>
      <w:r>
        <w:rPr>
          <w:rFonts w:ascii="Times New Roman" w:hAnsi="Times New Roman"/>
          <w:color w:themeColor="text1" w:val="000000"/>
          <w:sz w:val="28"/>
          <w:highlight w:val="white"/>
        </w:rPr>
        <w:t>Реализация федерального проекта «Спорт - норма жизни» национального проекта «Демография</w:t>
      </w:r>
      <w:r>
        <w:rPr>
          <w:rFonts w:ascii="Times New Roman" w:hAnsi="Times New Roman"/>
          <w:color w:themeColor="text1" w:val="000000"/>
          <w:sz w:val="28"/>
        </w:rPr>
        <w:t>»» осуществляется посредством выполнения следующих мероприятий:</w:t>
      </w:r>
    </w:p>
    <w:p w14:paraId="B5000000">
      <w:pPr>
        <w:spacing w:after="0" w:line="240" w:lineRule="auto"/>
        <w:ind w:firstLine="720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а) мероприятие подпрограммы 1 «Ремонт плоскостного спортивного сооружения  «Спортивная дорожка» в г.Кашин, Калининское шоссе»;</w:t>
      </w:r>
    </w:p>
    <w:p w14:paraId="B6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мероприятия подпрограммы 1 является «Уровень обеспеченности населения спортивными сооружениями исходя из единовременной пропускной способности объектов спорта»;</w:t>
      </w:r>
    </w:p>
    <w:p w14:paraId="B7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подпрограммы 1 «Проведение социологических опросов среди различных целевых групп населения»;</w:t>
      </w:r>
    </w:p>
    <w:p w14:paraId="B8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показателем мероприятия подпрограммы 1 является «Удовлетворенность населения </w:t>
      </w: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sz w:val="28"/>
        </w:rPr>
        <w:t xml:space="preserve"> условиями для занятий физической культурой и спортом».</w:t>
      </w:r>
    </w:p>
    <w:p w14:paraId="B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мероприятий задачи 3 подпрограммы 1, указанных в подпункте «а», настоящей муниципальной программы, осуществляется из бюджета </w:t>
      </w: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sz w:val="28"/>
        </w:rPr>
        <w:t>.</w:t>
      </w:r>
    </w:p>
    <w:p w14:paraId="BA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4 подпрограммы 1 «</w:t>
      </w:r>
      <w:r>
        <w:rPr>
          <w:rFonts w:ascii="Times New Roman" w:hAnsi="Times New Roman"/>
          <w:sz w:val="28"/>
          <w:highlight w:val="white"/>
        </w:rPr>
        <w:t>Реализация Программы поддержки местных инициатив в Тверской области</w:t>
      </w:r>
      <w:r>
        <w:rPr>
          <w:rFonts w:ascii="Times New Roman" w:hAnsi="Times New Roman"/>
          <w:sz w:val="28"/>
        </w:rPr>
        <w:t>» осуществляется посредством выполнения следующих мероприятий:</w:t>
      </w:r>
    </w:p>
    <w:p w14:paraId="BB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мероприятие подпрограммы 1 «Расходы на реализацию Программы по поддержке местных инициатив;</w:t>
      </w:r>
    </w:p>
    <w:p w14:paraId="BC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мероприятия подпрограммы 1 является «Количество заключенных договоров»;</w:t>
      </w:r>
    </w:p>
    <w:p w14:paraId="BD000000">
      <w:pPr>
        <w:spacing w:after="0" w:line="240" w:lineRule="auto"/>
        <w:ind w:firstLine="72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б)  мероприятие</w:t>
      </w:r>
      <w:r>
        <w:rPr>
          <w:rFonts w:ascii="Times New Roman" w:hAnsi="Times New Roman"/>
          <w:color w:val="000000"/>
          <w:sz w:val="28"/>
        </w:rPr>
        <w:t xml:space="preserve"> подпрограммы 1 «Расходы на реализацию Программы по поддержке местных инициатив «Установка уличной площадки для </w:t>
      </w:r>
      <w:r>
        <w:rPr>
          <w:rFonts w:ascii="Times New Roman" w:hAnsi="Times New Roman"/>
          <w:color w:val="000000"/>
          <w:sz w:val="28"/>
        </w:rPr>
        <w:t>воркаута</w:t>
      </w:r>
      <w:r>
        <w:rPr>
          <w:rFonts w:ascii="Times New Roman" w:hAnsi="Times New Roman"/>
          <w:color w:val="000000"/>
          <w:sz w:val="28"/>
        </w:rPr>
        <w:t xml:space="preserve"> в п. </w:t>
      </w:r>
      <w:r>
        <w:rPr>
          <w:rFonts w:ascii="Times New Roman" w:hAnsi="Times New Roman"/>
          <w:color w:val="000000"/>
          <w:sz w:val="28"/>
        </w:rPr>
        <w:t>Стулово</w:t>
      </w:r>
      <w:r>
        <w:rPr>
          <w:rFonts w:ascii="Times New Roman" w:hAnsi="Times New Roman"/>
          <w:color w:val="000000"/>
          <w:sz w:val="28"/>
        </w:rPr>
        <w:t xml:space="preserve"> Кашинского городского округа Тверской области» за счет средств местного бюджета, поступлений от юридических лиц и вкладов граждан»;</w:t>
      </w:r>
    </w:p>
    <w:p w14:paraId="BE000000">
      <w:pPr>
        <w:spacing w:after="0" w:line="240" w:lineRule="auto"/>
        <w:ind w:firstLine="72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показателем мероприятия подпрограммы 1 «Площадь обустроенной территории».</w:t>
      </w:r>
    </w:p>
    <w:p w14:paraId="BF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мероприятий задачи 4 подпрограммы 1, указанных в подпункте «а», «б» настоящей муниципальной программы, осуществляется из бюджета </w:t>
      </w: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sz w:val="28"/>
        </w:rPr>
        <w:t>.</w:t>
      </w:r>
    </w:p>
    <w:p w14:paraId="C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Выполнение каждого мероприятия подпрограммы 1 оценивается с помощью показателей, перечень которых и их значения по годам реализации муниципальной программы приведены в приложении 1 к муниципальной программе.</w:t>
      </w:r>
    </w:p>
    <w:p w14:paraId="C1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</w:p>
    <w:p w14:paraId="C200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3.3. Объем финансовых ресурсов, необходимый для реализации подпрограммы</w:t>
      </w:r>
    </w:p>
    <w:p w14:paraId="C3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финансирования на реализацию подпрограммы 1 составляет </w:t>
      </w:r>
      <w:r>
        <w:rPr>
          <w:rFonts w:ascii="Times New Roman" w:hAnsi="Times New Roman"/>
          <w:color w:val="FA0000"/>
          <w:sz w:val="28"/>
        </w:rPr>
        <w:t>12796,2</w:t>
      </w:r>
      <w:r>
        <w:rPr>
          <w:rFonts w:ascii="Times New Roman" w:hAnsi="Times New Roman"/>
          <w:sz w:val="28"/>
        </w:rPr>
        <w:t xml:space="preserve"> тыс. руб.</w:t>
      </w:r>
    </w:p>
    <w:p w14:paraId="C4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бюджетных ассигнований, выделенный на реализацию подпрограммы </w:t>
      </w:r>
      <w:r>
        <w:rPr>
          <w:rFonts w:ascii="Times New Roman" w:hAnsi="Times New Roman"/>
          <w:sz w:val="28"/>
        </w:rPr>
        <w:t>1  по</w:t>
      </w:r>
      <w:r>
        <w:rPr>
          <w:rFonts w:ascii="Times New Roman" w:hAnsi="Times New Roman"/>
          <w:sz w:val="28"/>
        </w:rPr>
        <w:t xml:space="preserve"> годам реализации  программы в разрезе задач приведен в таблице 1.</w:t>
      </w:r>
    </w:p>
    <w:p w14:paraId="C5000000">
      <w:pPr>
        <w:spacing w:after="0" w:line="240" w:lineRule="auto"/>
        <w:ind w:right="-1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1</w:t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261"/>
        <w:gridCol w:w="850"/>
        <w:gridCol w:w="851"/>
        <w:gridCol w:w="850"/>
        <w:gridCol w:w="851"/>
        <w:gridCol w:w="850"/>
        <w:gridCol w:w="851"/>
        <w:gridCol w:w="1236"/>
      </w:tblGrid>
      <w:tr>
        <w:trPr>
          <w:trHeight w:hRule="atLeast" w:val="761"/>
        </w:trPr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0000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Задача подпрограммы 1 «Создание условий для занятий населения физической культурой и спортом»</w:t>
            </w:r>
          </w:p>
        </w:tc>
        <w:tc>
          <w:tcPr>
            <w:tcW w:type="dxa" w:w="510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0000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По годам реализации, тыс. руб.</w:t>
            </w:r>
          </w:p>
        </w:tc>
        <w:tc>
          <w:tcPr>
            <w:tcW w:type="dxa" w:w="1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0000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Итого, </w:t>
            </w:r>
            <w:r>
              <w:rPr>
                <w:rFonts w:ascii="Times New Roman" w:hAnsi="Times New Roman"/>
                <w:b w:val="1"/>
                <w:sz w:val="20"/>
              </w:rPr>
              <w:t>тыс.руб</w:t>
            </w:r>
            <w:r>
              <w:rPr>
                <w:rFonts w:ascii="Times New Roman" w:hAnsi="Times New Roman"/>
                <w:b w:val="1"/>
                <w:sz w:val="20"/>
              </w:rPr>
              <w:t>.</w:t>
            </w:r>
          </w:p>
        </w:tc>
      </w:tr>
      <w:tr>
        <w:trPr>
          <w:trHeight w:hRule="atLeast" w:val="495"/>
        </w:trPr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0000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0000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0000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0000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0000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0000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2030</w:t>
            </w:r>
          </w:p>
        </w:tc>
        <w:tc>
          <w:tcPr>
            <w:tcW w:type="dxa" w:w="1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2527"/>
        </w:trP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spacing w:line="240" w:lineRule="auto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1 «Развитие массового спорта и физкультурно-оздоровительного движения среди всех возрастных групп и категорий населения на территории Кашинского муниципального округа Тверской области, включая лиц с ограниченными физическими возможностями и инвалидов в муниципальном образовании»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0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0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0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0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0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0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600,0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0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3700,0</w:t>
            </w:r>
          </w:p>
        </w:tc>
      </w:tr>
      <w:tr>
        <w:trPr>
          <w:trHeight w:hRule="atLeast" w:val="416"/>
        </w:trP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2 «Организация участия спортсменов и сборных команд Кашинского муниципального округа Тверской области в областных, всероссийских и международных соревнованиях»;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1600,0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1200,0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7600,0</w:t>
            </w:r>
          </w:p>
        </w:tc>
      </w:tr>
      <w:tr>
        <w:trPr>
          <w:trHeight w:hRule="atLeast" w:val="540"/>
        </w:trP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spacing w:after="0" w:line="240" w:lineRule="auto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3«</w:t>
            </w:r>
            <w:r>
              <w:rPr>
                <w:rFonts w:ascii="Times New Roman" w:hAnsi="Times New Roman"/>
                <w:sz w:val="20"/>
                <w:highlight w:val="white"/>
              </w:rPr>
              <w:t>Реализация федерального проекта «Спорт - норма жизни»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  <w:highlight w:val="white"/>
              </w:rPr>
              <w:t>национального проекта «Демография»»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1300,0</w:t>
            </w:r>
          </w:p>
        </w:tc>
      </w:tr>
      <w:tr>
        <w:trPr>
          <w:trHeight w:hRule="atLeast" w:val="540"/>
        </w:trP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pPr>
              <w:spacing w:after="0" w:line="240" w:lineRule="auto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Задача 4 ««Реализация Программы поддержки местных инициатив в Тверской области»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196,2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196,2</w:t>
            </w:r>
          </w:p>
        </w:tc>
      </w:tr>
      <w:tr>
        <w:trPr>
          <w:trHeight w:hRule="atLeast" w:val="353"/>
        </w:trP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Итого, тыс. руб.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3796,2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1800,0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1800,0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12796,2</w:t>
            </w:r>
          </w:p>
        </w:tc>
      </w:tr>
    </w:tbl>
    <w:p w14:paraId="F7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0"/>
        </w:rPr>
      </w:pPr>
    </w:p>
    <w:p w14:paraId="F800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Расходы на обеспечение мероприятий   подпрограммы 1 по годам реализации программы в разрезе кодов бюджетной классификации приведены в приложении 1 к </w:t>
      </w:r>
      <w:r>
        <w:rPr>
          <w:rFonts w:ascii="Times New Roman" w:hAnsi="Times New Roman"/>
          <w:sz w:val="28"/>
        </w:rPr>
        <w:t>настоящей  программе</w:t>
      </w:r>
      <w:r>
        <w:rPr>
          <w:rFonts w:ascii="Times New Roman" w:hAnsi="Times New Roman"/>
          <w:sz w:val="28"/>
        </w:rPr>
        <w:t>.</w:t>
      </w:r>
    </w:p>
    <w:p w14:paraId="F900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F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3.4. Механизм предоставления бюджетных ассигнований для выполнения мероприятий подпрограммы</w:t>
      </w:r>
    </w:p>
    <w:p w14:paraId="FB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F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программных мероприятий включает в себя перечисление денежных средств на основании финансовых документов по назначению.</w:t>
      </w:r>
    </w:p>
    <w:p w14:paraId="F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Денежные средства перечисляются с лицевого счета Комитета в пределах </w:t>
      </w:r>
      <w:r>
        <w:rPr>
          <w:rFonts w:ascii="Times New Roman" w:hAnsi="Times New Roman"/>
          <w:sz w:val="28"/>
        </w:rPr>
        <w:t>лимитов  бюджетных</w:t>
      </w:r>
      <w:r>
        <w:rPr>
          <w:rFonts w:ascii="Times New Roman" w:hAnsi="Times New Roman"/>
          <w:sz w:val="28"/>
        </w:rPr>
        <w:t xml:space="preserve"> ассигнований,  установленных на год данной программой. </w:t>
      </w:r>
    </w:p>
    <w:p w14:paraId="FE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Ответственность за целевое использование бюджетных средств несет Комитет.</w:t>
      </w:r>
    </w:p>
    <w:p w14:paraId="FF000000">
      <w:pPr>
        <w:spacing w:after="0" w:line="240" w:lineRule="auto"/>
        <w:ind w:right="-1"/>
        <w:rPr>
          <w:rFonts w:ascii="Times New Roman" w:hAnsi="Times New Roman"/>
          <w:sz w:val="28"/>
        </w:rPr>
      </w:pPr>
    </w:p>
    <w:p w14:paraId="0001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 Подпрограмма 2 «Обеспечение функционирования спортивных объектов» (МУ «Стадион»)</w:t>
      </w:r>
    </w:p>
    <w:p w14:paraId="0101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</w:p>
    <w:p w14:paraId="0201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4.1. Задачи подпрограммы</w:t>
      </w:r>
    </w:p>
    <w:p w14:paraId="0301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</w:p>
    <w:p w14:paraId="04010000">
      <w:pPr>
        <w:spacing w:after="0" w:line="24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 Реализация подпрограммы 2 «Обеспечение функционирования спортивных объектов» (МУ «Стадион») (далее – подпрограмма 2</w:t>
      </w:r>
      <w:r>
        <w:rPr>
          <w:rFonts w:ascii="Times New Roman" w:hAnsi="Times New Roman"/>
          <w:color w:themeColor="text1" w:val="000000"/>
          <w:sz w:val="28"/>
        </w:rPr>
        <w:t>)  связана</w:t>
      </w:r>
      <w:r>
        <w:rPr>
          <w:rFonts w:ascii="Times New Roman" w:hAnsi="Times New Roman"/>
          <w:color w:themeColor="text1" w:val="000000"/>
          <w:sz w:val="28"/>
        </w:rPr>
        <w:t xml:space="preserve"> с решением следующих задач:</w:t>
      </w:r>
    </w:p>
    <w:p w14:paraId="05010000">
      <w:pPr>
        <w:spacing w:after="0" w:line="24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Задача 1 подпрограммы 2 «Развитие физкультурно-спортивной инфраструктуры МУ «Стадион»;</w:t>
      </w:r>
    </w:p>
    <w:p w14:paraId="06010000">
      <w:pPr>
        <w:pStyle w:val="Style_6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2 подпрограммы 2 «Увеличение пропускной способности спортивных сооружений на МУ «Стадион»».</w:t>
      </w:r>
    </w:p>
    <w:p w14:paraId="07010000">
      <w:pPr>
        <w:tabs>
          <w:tab w:leader="none" w:pos="5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подпрограммы 2 «Развитие </w:t>
      </w:r>
      <w:r>
        <w:rPr>
          <w:rFonts w:ascii="Times New Roman" w:hAnsi="Times New Roman"/>
          <w:sz w:val="28"/>
        </w:rPr>
        <w:t>физкультурно</w:t>
      </w:r>
      <w:r>
        <w:rPr>
          <w:rFonts w:ascii="Times New Roman" w:hAnsi="Times New Roman"/>
          <w:sz w:val="28"/>
        </w:rPr>
        <w:t xml:space="preserve"> - спортивной инфраструктуры МУ «Стадион»» оценивается с помощью следующих показателей:</w:t>
      </w:r>
    </w:p>
    <w:p w14:paraId="08010000">
      <w:pPr>
        <w:tabs>
          <w:tab w:leader="none" w:pos="5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показателем задачи 1 подпрограммы 2 является «Доля расходов </w:t>
      </w: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sz w:val="28"/>
        </w:rPr>
        <w:t xml:space="preserve">, предусмотренных в рамках </w:t>
      </w:r>
      <w:r>
        <w:rPr>
          <w:rFonts w:ascii="Times New Roman" w:hAnsi="Times New Roman"/>
          <w:sz w:val="28"/>
        </w:rPr>
        <w:t>муниципальной  программы</w:t>
      </w:r>
      <w:r>
        <w:rPr>
          <w:rFonts w:ascii="Times New Roman" w:hAnsi="Times New Roman"/>
          <w:sz w:val="28"/>
        </w:rPr>
        <w:t>»;</w:t>
      </w:r>
    </w:p>
    <w:p w14:paraId="09010000">
      <w:pPr>
        <w:tabs>
          <w:tab w:leader="none" w:pos="5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подпрограммы 2 «Увеличение пропускной способности спортивных сооружений на МУ «Стадион»» оценивается с помощью следующих показателей:</w:t>
      </w:r>
    </w:p>
    <w:p w14:paraId="0A010000">
      <w:pPr>
        <w:tabs>
          <w:tab w:leader="none" w:pos="5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показателем задачи 2 подпрограммы 2 является «Количество человек, использующих спортивные сооружения МУ «Стадион».</w:t>
      </w:r>
    </w:p>
    <w:p w14:paraId="0B010000">
      <w:pPr>
        <w:tabs>
          <w:tab w:leader="none" w:pos="5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Значения показателей задач подпрограммы 1 по годам реализации муниципальной программы приведены в приложении 1 к муниципальной программе.</w:t>
      </w:r>
    </w:p>
    <w:p w14:paraId="0C010000">
      <w:pPr>
        <w:tabs>
          <w:tab w:leader="none" w:pos="54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Описание характеристик показателей задач подпрограммы 1 приведены в приложении 1 к муниципальной программе.</w:t>
      </w:r>
    </w:p>
    <w:p w14:paraId="0D010000">
      <w:pPr>
        <w:spacing w:after="0" w:line="240" w:lineRule="auto"/>
        <w:ind w:right="-1"/>
        <w:jc w:val="center"/>
        <w:rPr>
          <w:rFonts w:ascii="Times New Roman" w:hAnsi="Times New Roman"/>
          <w:sz w:val="28"/>
        </w:rPr>
      </w:pPr>
    </w:p>
    <w:p w14:paraId="0E01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4.2. Мероприятия подпрограммы</w:t>
      </w:r>
    </w:p>
    <w:p w14:paraId="0F010000">
      <w:pPr>
        <w:spacing w:after="0" w:line="240" w:lineRule="auto"/>
        <w:ind w:right="-1"/>
        <w:jc w:val="center"/>
        <w:rPr>
          <w:rFonts w:ascii="Times New Roman" w:hAnsi="Times New Roman"/>
          <w:sz w:val="28"/>
        </w:rPr>
      </w:pPr>
    </w:p>
    <w:p w14:paraId="10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Решение Задачи 1 подпрограммы 2 «Развитие физкультурно-спортивной инфраструктуры МУ «Стадион»» осуществляется посредством выполнения следующих мероприятий:</w:t>
      </w:r>
    </w:p>
    <w:p w14:paraId="11010000">
      <w:pPr>
        <w:pStyle w:val="Style_4"/>
        <w:spacing w:after="0" w:line="240" w:lineRule="auto"/>
        <w:ind w:firstLine="720" w:left="0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а) мероприятие подпрограммы 2«Обеспечение функционирования и развитие инфраструктуры МУ «Стадион»»;</w:t>
      </w:r>
    </w:p>
    <w:p w14:paraId="12010000">
      <w:pPr>
        <w:pStyle w:val="Style_4"/>
        <w:spacing w:after="0" w:line="240" w:lineRule="auto"/>
        <w:ind w:firstLine="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мероприятия подпрограммы 2 является «Количество функционирующих спортивных сооружений на МУ «Стадион»».</w:t>
      </w:r>
    </w:p>
    <w:p w14:paraId="13010000">
      <w:pPr>
        <w:pStyle w:val="Style_4"/>
        <w:spacing w:after="0" w:line="240" w:lineRule="auto"/>
        <w:ind w:firstLine="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административное мероприятие подпрограммы 2 «Проведение мероприятий на МУ «Стадион»»;</w:t>
      </w:r>
    </w:p>
    <w:p w14:paraId="14010000">
      <w:pPr>
        <w:pStyle w:val="Style_4"/>
        <w:spacing w:after="0" w:line="240" w:lineRule="auto"/>
        <w:ind w:firstLine="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мероприятия подпрограммы 2 является «Количество проведённых мероприятий».</w:t>
      </w:r>
    </w:p>
    <w:p w14:paraId="15010000">
      <w:pPr>
        <w:pStyle w:val="Style_4"/>
        <w:spacing w:after="0" w:line="240" w:lineRule="auto"/>
        <w:ind w:firstLine="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мероприятий задачи 1 подпрограммы 2, указанных в подпункте «а» настоящей муниципальной программы, осуществляется </w:t>
      </w:r>
      <w:r>
        <w:rPr>
          <w:rFonts w:ascii="Times New Roman" w:hAnsi="Times New Roman"/>
          <w:sz w:val="28"/>
        </w:rPr>
        <w:t>из  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sz w:val="28"/>
        </w:rPr>
        <w:t>.</w:t>
      </w:r>
    </w:p>
    <w:p w14:paraId="16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подпрограммы 2 «Увеличение пропускной способности спортивных сооружений на МУ «Стадион» осуществляется посредством выполнения следующих мероприятий»:</w:t>
      </w:r>
    </w:p>
    <w:p w14:paraId="1701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административное мероприятие подпрограммы 2 «Обеспечение предоставления услуг жителям </w:t>
      </w: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sz w:val="28"/>
        </w:rPr>
        <w:t xml:space="preserve"> в области физической культуры и спорта на МУ «Стадион»»;</w:t>
      </w:r>
    </w:p>
    <w:p w14:paraId="1801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мероприятия подпрограммы 2 является «</w:t>
      </w:r>
      <w:r>
        <w:rPr>
          <w:rFonts w:ascii="Times New Roman" w:hAnsi="Times New Roman"/>
          <w:sz w:val="28"/>
        </w:rPr>
        <w:t>Количество услуг</w:t>
      </w:r>
      <w:r>
        <w:rPr>
          <w:rFonts w:ascii="Times New Roman" w:hAnsi="Times New Roman"/>
          <w:sz w:val="28"/>
        </w:rPr>
        <w:t xml:space="preserve"> предоставляемых жителям </w:t>
      </w: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sz w:val="28"/>
        </w:rPr>
        <w:t xml:space="preserve"> в области физической культуры и спорта на МУ «Стадион»»;</w:t>
      </w:r>
    </w:p>
    <w:p w14:paraId="1901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б) административное мероприятие подпрограммы 2 «Публикации в СМИ о функционировании спортивных сооружений на МУ «Стадион»»;</w:t>
      </w:r>
    </w:p>
    <w:p w14:paraId="1A01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показателем мероприятия подпрограммы 1 является «Количество публикаций в СМИ о функционировании спортивных сооружений на МУ «Стадион»».</w:t>
      </w:r>
    </w:p>
    <w:p w14:paraId="1B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Выполнение каждого мероприятия подпрограммы 2 оценивается с помощью показателей, перечень которых и их значения по годам реализации муниципальной программы приведены в приложении 1 к муниципальной программе.</w:t>
      </w:r>
    </w:p>
    <w:p w14:paraId="1C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D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E01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4.3. Объем финансовых ресурсов, необходимый для реализации подпрограммы</w:t>
      </w:r>
    </w:p>
    <w:p w14:paraId="1F010000">
      <w:pPr>
        <w:spacing w:after="0" w:line="240" w:lineRule="auto"/>
        <w:ind w:right="-1"/>
        <w:jc w:val="center"/>
        <w:rPr>
          <w:rFonts w:ascii="Times New Roman" w:hAnsi="Times New Roman"/>
          <w:b w:val="1"/>
          <w:sz w:val="28"/>
        </w:rPr>
      </w:pPr>
    </w:p>
    <w:p w14:paraId="20010000">
      <w:pPr>
        <w:spacing w:after="0" w:line="240" w:lineRule="auto"/>
        <w:ind w:firstLine="709" w:left="0" w:right="-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Общий объем </w:t>
      </w:r>
      <w:r>
        <w:rPr>
          <w:rFonts w:ascii="Times New Roman" w:hAnsi="Times New Roman"/>
          <w:sz w:val="28"/>
        </w:rPr>
        <w:t>финансирования  на</w:t>
      </w:r>
      <w:r>
        <w:rPr>
          <w:rFonts w:ascii="Times New Roman" w:hAnsi="Times New Roman"/>
          <w:sz w:val="28"/>
        </w:rPr>
        <w:t xml:space="preserve"> реализацию подпрограммы 2 за счет местного бюджета составляет </w:t>
      </w:r>
      <w:r>
        <w:rPr>
          <w:rFonts w:ascii="Times New Roman" w:hAnsi="Times New Roman"/>
          <w:color w:val="FA0000"/>
          <w:sz w:val="28"/>
        </w:rPr>
        <w:t>24375,7</w:t>
      </w:r>
      <w:r>
        <w:rPr>
          <w:rFonts w:ascii="Times New Roman" w:hAnsi="Times New Roman"/>
          <w:sz w:val="28"/>
        </w:rPr>
        <w:t xml:space="preserve"> тыс. руб., областного бюджета – 100,8 тыс. руб. </w:t>
      </w:r>
    </w:p>
    <w:p w14:paraId="21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бюджетных ассигнований, выделенный на реализацию подпрограммы </w:t>
      </w:r>
      <w:r>
        <w:rPr>
          <w:rFonts w:ascii="Times New Roman" w:hAnsi="Times New Roman"/>
          <w:sz w:val="28"/>
        </w:rPr>
        <w:t>2  по</w:t>
      </w:r>
      <w:r>
        <w:rPr>
          <w:rFonts w:ascii="Times New Roman" w:hAnsi="Times New Roman"/>
          <w:sz w:val="28"/>
        </w:rPr>
        <w:t xml:space="preserve"> годам реализации программы в разрезе задач приведен в таблице 2.</w:t>
      </w:r>
    </w:p>
    <w:p w14:paraId="2201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2</w:t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4"/>
        <w:gridCol w:w="2976"/>
        <w:gridCol w:w="851"/>
        <w:gridCol w:w="850"/>
        <w:gridCol w:w="851"/>
        <w:gridCol w:w="850"/>
        <w:gridCol w:w="851"/>
        <w:gridCol w:w="850"/>
        <w:gridCol w:w="1047"/>
      </w:tblGrid>
      <w:tr>
        <w:tc>
          <w:tcPr>
            <w:tcW w:type="dxa" w:w="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№ п/п</w:t>
            </w:r>
          </w:p>
        </w:tc>
        <w:tc>
          <w:tcPr>
            <w:tcW w:type="dxa" w:w="29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Задача подпрограммы</w:t>
            </w:r>
          </w:p>
        </w:tc>
        <w:tc>
          <w:tcPr>
            <w:tcW w:type="dxa" w:w="510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По годам реализации, тыс. руб.</w:t>
            </w:r>
          </w:p>
        </w:tc>
        <w:tc>
          <w:tcPr>
            <w:tcW w:type="dxa" w:w="10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Итого </w:t>
            </w:r>
            <w:r>
              <w:rPr>
                <w:rFonts w:ascii="Times New Roman" w:hAnsi="Times New Roman"/>
                <w:b w:val="1"/>
                <w:sz w:val="20"/>
              </w:rPr>
              <w:t>тыс.руб</w:t>
            </w:r>
            <w:r>
              <w:rPr>
                <w:rFonts w:ascii="Times New Roman" w:hAnsi="Times New Roman"/>
                <w:b w:val="1"/>
                <w:sz w:val="20"/>
              </w:rPr>
              <w:t>.</w:t>
            </w:r>
          </w:p>
        </w:tc>
      </w:tr>
      <w:tr>
        <w:tc>
          <w:tcPr>
            <w:tcW w:type="dxa" w:w="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9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2030</w:t>
            </w:r>
          </w:p>
        </w:tc>
        <w:tc>
          <w:tcPr>
            <w:tcW w:type="dxa" w:w="10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287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pStyle w:val="Style_6"/>
              <w:tabs>
                <w:tab w:leader="none" w:pos="1080" w:val="left"/>
              </w:tabs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«Развитие физкультурно-спортивной инфраструктуры МУ «Стадион»» 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3396,9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3069,2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2994,7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2994,7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2994,7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2994,7</w:t>
            </w:r>
          </w:p>
        </w:tc>
        <w:tc>
          <w:tcPr>
            <w:tcW w:type="dxa" w:w="1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24375,7</w:t>
            </w:r>
          </w:p>
        </w:tc>
      </w:tr>
      <w:tr>
        <w:trPr>
          <w:trHeight w:hRule="atLeast" w:val="287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pStyle w:val="Style_6"/>
              <w:tabs>
                <w:tab w:leader="none" w:pos="1080" w:val="left"/>
              </w:tabs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«Увеличение пропускной способности спортивных сооружений на МУ «Стадион»»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200"/>
        </w:trPr>
        <w:tc>
          <w:tcPr>
            <w:tcW w:type="dxa" w:w="35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Итого, тыс. руб.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3396,9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3069,2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A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2994,7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2994,7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2994,7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2994,7</w:t>
            </w:r>
          </w:p>
        </w:tc>
        <w:tc>
          <w:tcPr>
            <w:tcW w:type="dxa" w:w="1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FA0000"/>
                <w:sz w:val="20"/>
              </w:rPr>
            </w:pPr>
            <w:r>
              <w:rPr>
                <w:rFonts w:ascii="Times New Roman" w:hAnsi="Times New Roman"/>
                <w:color w:val="FA0000"/>
                <w:sz w:val="20"/>
              </w:rPr>
              <w:t>24375,7</w:t>
            </w:r>
          </w:p>
        </w:tc>
      </w:tr>
    </w:tbl>
    <w:p w14:paraId="47010000">
      <w:pPr>
        <w:spacing w:after="0" w:line="240" w:lineRule="auto"/>
        <w:ind w:firstLine="567" w:left="0"/>
        <w:jc w:val="both"/>
        <w:rPr>
          <w:rFonts w:ascii="Times New Roman" w:hAnsi="Times New Roman"/>
          <w:sz w:val="28"/>
        </w:rPr>
      </w:pPr>
    </w:p>
    <w:p w14:paraId="48010000">
      <w:pPr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Расходы на обеспечение мероприятий   подпрограммы 2 по годам </w:t>
      </w:r>
      <w:r>
        <w:rPr>
          <w:rFonts w:ascii="Times New Roman" w:hAnsi="Times New Roman"/>
          <w:sz w:val="28"/>
        </w:rPr>
        <w:t>реализации  программы</w:t>
      </w:r>
      <w:r>
        <w:rPr>
          <w:rFonts w:ascii="Times New Roman" w:hAnsi="Times New Roman"/>
          <w:sz w:val="28"/>
        </w:rPr>
        <w:t xml:space="preserve"> в разрезе кодов бюджетной классификации приведены в приложении 1 к настоящей  программе.</w:t>
      </w:r>
    </w:p>
    <w:p w14:paraId="4901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4A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4.4. Механизм предоставления бюджетных ассигнований для выполнения мероприятий подпрограммы</w:t>
      </w:r>
    </w:p>
    <w:p w14:paraId="4B01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4C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программных мероприятий включает в себя перечисление денежных средств на основании финансовых документов по назначению.</w:t>
      </w:r>
    </w:p>
    <w:p w14:paraId="4D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Денежные средства перечисляются с лицевого счета Комитета в пределах </w:t>
      </w:r>
      <w:r>
        <w:rPr>
          <w:rFonts w:ascii="Times New Roman" w:hAnsi="Times New Roman"/>
          <w:sz w:val="28"/>
        </w:rPr>
        <w:t>лимитов  бюджетных</w:t>
      </w:r>
      <w:r>
        <w:rPr>
          <w:rFonts w:ascii="Times New Roman" w:hAnsi="Times New Roman"/>
          <w:sz w:val="28"/>
        </w:rPr>
        <w:t xml:space="preserve"> ассигнований,  установленных на год данной программой. Ответственность за целевое использование бюджетных средств несет Комитет.</w:t>
      </w:r>
    </w:p>
    <w:p w14:paraId="4E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4F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0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1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2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3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4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5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6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7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8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9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A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B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C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D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E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F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60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61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62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63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64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65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66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67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68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69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6A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6B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6C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6D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6E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6F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0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1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2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3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4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5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6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7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8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9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A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B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C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D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E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7F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0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1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2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3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4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5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6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7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8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9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A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B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C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D01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E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Председатель Комитета по культуре, </w:t>
      </w:r>
    </w:p>
    <w:p w14:paraId="8F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туризму, спорту и делам молодежи </w:t>
      </w:r>
    </w:p>
    <w:p w14:paraId="9001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Администрации Кашинского </w:t>
      </w:r>
      <w:r>
        <w:rPr>
          <w:rFonts w:ascii="Times New Roman" w:hAnsi="Times New Roman"/>
          <w:sz w:val="24"/>
        </w:rPr>
        <w:t>городского</w:t>
      </w:r>
      <w:r>
        <w:rPr>
          <w:rFonts w:ascii="Times New Roman" w:hAnsi="Times New Roman"/>
          <w:sz w:val="24"/>
        </w:rPr>
        <w:t xml:space="preserve"> округа                                        Г.Г. Баландин</w:t>
      </w:r>
    </w:p>
    <w:sectPr>
      <w:headerReference r:id="rId1" w:type="default"/>
      <w:pgSz w:h="16838" w:orient="portrait" w:w="11906"/>
      <w:pgMar w:bottom="1134" w:footer="708" w:gutter="0" w:header="708" w:left="1701" w:right="850" w:top="993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rFonts w:ascii="Calibri" w:hAnsi="Calibri"/>
    </w:rPr>
  </w:style>
  <w:style w:default="1" w:styleId="Style_7_ch" w:type="character">
    <w:name w:val="Normal"/>
    <w:link w:val="Style_7"/>
    <w:rPr>
      <w:rFonts w:ascii="Calibri" w:hAnsi="Calibri"/>
    </w:rPr>
  </w:style>
  <w:style w:styleId="Style_8" w:type="paragraph">
    <w:name w:val="Гиперссылка1"/>
    <w:link w:val="Style_8_ch"/>
    <w:rPr>
      <w:color w:val="0000FF"/>
      <w:u w:val="single"/>
    </w:rPr>
  </w:style>
  <w:style w:styleId="Style_8_ch" w:type="character">
    <w:name w:val="Гиперссылка1"/>
    <w:link w:val="Style_8"/>
    <w:rPr>
      <w:color w:val="0000FF"/>
      <w:u w:val="single"/>
    </w:rPr>
  </w:style>
  <w:style w:styleId="Style_9" w:type="paragraph">
    <w:name w:val="toc 2"/>
    <w:next w:val="Style_7"/>
    <w:link w:val="Style_9_ch"/>
    <w:uiPriority w:val="39"/>
    <w:pPr>
      <w:ind w:firstLine="0"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7"/>
    <w:link w:val="Style_10_ch"/>
    <w:uiPriority w:val="39"/>
    <w:pPr>
      <w:ind w:firstLine="0"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Основной шрифт абзаца1"/>
    <w:link w:val="Style_11_ch"/>
  </w:style>
  <w:style w:styleId="Style_11_ch" w:type="character">
    <w:name w:val="Основной шрифт абзаца1"/>
    <w:link w:val="Style_11"/>
  </w:style>
  <w:style w:styleId="Style_12" w:type="paragraph">
    <w:name w:val="toc 6"/>
    <w:next w:val="Style_7"/>
    <w:link w:val="Style_12_ch"/>
    <w:uiPriority w:val="39"/>
    <w:pPr>
      <w:ind w:firstLine="0" w:left="1000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7"/>
    <w:link w:val="Style_13_ch"/>
    <w:uiPriority w:val="39"/>
    <w:pPr>
      <w:ind w:firstLine="0" w:left="1200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</w:rPr>
  </w:style>
  <w:style w:styleId="Style_14_ch" w:type="character">
    <w:name w:val="Endnote"/>
    <w:link w:val="Style_14"/>
    <w:rPr>
      <w:rFonts w:ascii="XO Thames" w:hAnsi="XO Thames"/>
    </w:rPr>
  </w:style>
  <w:style w:styleId="Style_15" w:type="paragraph">
    <w:name w:val="heading 3"/>
    <w:next w:val="Style_7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Гиперссылка1"/>
    <w:link w:val="Style_16_ch"/>
    <w:rPr>
      <w:color w:val="0000FF"/>
      <w:u w:val="single"/>
    </w:rPr>
  </w:style>
  <w:style w:styleId="Style_16_ch" w:type="character">
    <w:name w:val="Гиперссылка1"/>
    <w:link w:val="Style_16"/>
    <w:rPr>
      <w:color w:val="0000FF"/>
      <w:u w:val="single"/>
    </w:rPr>
  </w:style>
  <w:style w:styleId="Style_4" w:type="paragraph">
    <w:name w:val="Body Text Indent"/>
    <w:basedOn w:val="Style_7"/>
    <w:link w:val="Style_4_ch"/>
    <w:pPr>
      <w:ind w:firstLine="0" w:left="360"/>
      <w:jc w:val="both"/>
    </w:pPr>
  </w:style>
  <w:style w:styleId="Style_4_ch" w:type="character">
    <w:name w:val="Body Text Indent"/>
    <w:basedOn w:val="Style_7_ch"/>
    <w:link w:val="Style_4"/>
  </w:style>
  <w:style w:styleId="Style_17" w:type="paragraph">
    <w:name w:val="Обычный1"/>
    <w:link w:val="Style_17_ch"/>
    <w:rPr>
      <w:rFonts w:ascii="Calibri" w:hAnsi="Calibri"/>
    </w:rPr>
  </w:style>
  <w:style w:styleId="Style_17_ch" w:type="character">
    <w:name w:val="Обычный1"/>
    <w:link w:val="Style_17"/>
    <w:rPr>
      <w:rFonts w:ascii="Calibri" w:hAnsi="Calibri"/>
    </w:rPr>
  </w:style>
  <w:style w:styleId="Style_18" w:type="paragraph">
    <w:name w:val="toc 3"/>
    <w:next w:val="Style_7"/>
    <w:link w:val="Style_18_ch"/>
    <w:uiPriority w:val="39"/>
    <w:pPr>
      <w:ind w:firstLine="0"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6" w:type="paragraph">
    <w:name w:val="Body Text"/>
    <w:basedOn w:val="Style_7"/>
    <w:link w:val="Style_6_ch"/>
    <w:pPr>
      <w:spacing w:after="120"/>
      <w:ind/>
    </w:pPr>
  </w:style>
  <w:style w:styleId="Style_6_ch" w:type="character">
    <w:name w:val="Body Text"/>
    <w:basedOn w:val="Style_7_ch"/>
    <w:link w:val="Style_6"/>
  </w:style>
  <w:style w:styleId="Style_19" w:type="paragraph">
    <w:name w:val="heading 5"/>
    <w:next w:val="Style_7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9_ch" w:type="character">
    <w:name w:val="heading 5"/>
    <w:link w:val="Style_19"/>
    <w:rPr>
      <w:rFonts w:ascii="XO Thames" w:hAnsi="XO Thames"/>
      <w:b w:val="1"/>
    </w:rPr>
  </w:style>
  <w:style w:styleId="Style_20" w:type="paragraph">
    <w:name w:val="footer"/>
    <w:basedOn w:val="Style_7"/>
    <w:link w:val="Style_2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0_ch" w:type="character">
    <w:name w:val="footer"/>
    <w:basedOn w:val="Style_7_ch"/>
    <w:link w:val="Style_20"/>
  </w:style>
  <w:style w:styleId="Style_21" w:type="paragraph">
    <w:name w:val="heading 1"/>
    <w:next w:val="Style_7"/>
    <w:link w:val="Style_2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7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0"/>
    </w:rPr>
  </w:style>
  <w:style w:styleId="Style_25_ch" w:type="character">
    <w:name w:val="Header and Footer"/>
    <w:link w:val="Style_25"/>
    <w:rPr>
      <w:rFonts w:ascii="XO Thames" w:hAnsi="XO Thames"/>
      <w:sz w:val="20"/>
    </w:rPr>
  </w:style>
  <w:style w:styleId="Style_5" w:type="paragraph">
    <w:name w:val="Абзац списка1"/>
    <w:basedOn w:val="Style_7"/>
    <w:link w:val="Style_5_ch"/>
    <w:pPr>
      <w:ind w:firstLine="0" w:left="720"/>
      <w:contextualSpacing w:val="1"/>
    </w:pPr>
  </w:style>
  <w:style w:styleId="Style_5_ch" w:type="character">
    <w:name w:val="Абзац списка1"/>
    <w:basedOn w:val="Style_7_ch"/>
    <w:link w:val="Style_5"/>
  </w:style>
  <w:style w:styleId="Style_26" w:type="paragraph">
    <w:name w:val="toc 9"/>
    <w:next w:val="Style_7"/>
    <w:link w:val="Style_26_ch"/>
    <w:uiPriority w:val="39"/>
    <w:pPr>
      <w:ind w:firstLine="0"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7"/>
    <w:link w:val="Style_27_ch"/>
    <w:uiPriority w:val="39"/>
    <w:pPr>
      <w:ind w:firstLine="0"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No Spacing"/>
    <w:link w:val="Style_28_ch"/>
    <w:pPr>
      <w:spacing w:after="0" w:line="240" w:lineRule="auto"/>
      <w:ind/>
    </w:pPr>
    <w:rPr>
      <w:rFonts w:ascii="Calibri" w:hAnsi="Calibri"/>
    </w:rPr>
  </w:style>
  <w:style w:styleId="Style_28_ch" w:type="character">
    <w:name w:val="No Spacing"/>
    <w:link w:val="Style_28"/>
    <w:rPr>
      <w:rFonts w:ascii="Calibri" w:hAnsi="Calibri"/>
    </w:rPr>
  </w:style>
  <w:style w:styleId="Style_1" w:type="paragraph">
    <w:name w:val="head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7_ch"/>
    <w:link w:val="Style_1"/>
  </w:style>
  <w:style w:styleId="Style_29" w:type="paragraph">
    <w:name w:val="Основной шрифт абзаца1"/>
    <w:link w:val="Style_29_ch"/>
  </w:style>
  <w:style w:styleId="Style_29_ch" w:type="character">
    <w:name w:val="Основной шрифт абзаца1"/>
    <w:link w:val="Style_29"/>
  </w:style>
  <w:style w:styleId="Style_30" w:type="paragraph">
    <w:name w:val="toc 5"/>
    <w:next w:val="Style_7"/>
    <w:link w:val="Style_30_ch"/>
    <w:uiPriority w:val="39"/>
    <w:pPr>
      <w:ind w:firstLine="0"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ConsPlusCell"/>
    <w:link w:val="Style_31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31_ch" w:type="character">
    <w:name w:val="ConsPlusCell"/>
    <w:link w:val="Style_31"/>
    <w:rPr>
      <w:rFonts w:ascii="Arial" w:hAnsi="Arial"/>
      <w:sz w:val="20"/>
    </w:rPr>
  </w:style>
  <w:style w:styleId="Style_32" w:type="paragraph">
    <w:name w:val="Subtitle"/>
    <w:next w:val="Style_7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Balloon Text"/>
    <w:basedOn w:val="Style_7"/>
    <w:link w:val="Style_33_ch"/>
    <w:pPr>
      <w:spacing w:after="0" w:line="240" w:lineRule="auto"/>
      <w:ind/>
    </w:pPr>
    <w:rPr>
      <w:rFonts w:ascii="Tahoma" w:hAnsi="Tahoma"/>
      <w:sz w:val="16"/>
    </w:rPr>
  </w:style>
  <w:style w:styleId="Style_33_ch" w:type="character">
    <w:name w:val="Balloon Text"/>
    <w:basedOn w:val="Style_7_ch"/>
    <w:link w:val="Style_33"/>
    <w:rPr>
      <w:rFonts w:ascii="Tahoma" w:hAnsi="Tahoma"/>
      <w:sz w:val="16"/>
    </w:rPr>
  </w:style>
  <w:style w:styleId="Style_2" w:type="paragraph">
    <w:name w:val="Title"/>
    <w:basedOn w:val="Style_7"/>
    <w:next w:val="Style_7"/>
    <w:link w:val="Style_2_ch"/>
    <w:uiPriority w:val="10"/>
    <w:qFormat/>
    <w:pPr>
      <w:spacing w:after="60" w:before="240"/>
      <w:ind/>
      <w:jc w:val="center"/>
      <w:outlineLvl w:val="0"/>
    </w:pPr>
    <w:rPr>
      <w:rFonts w:ascii="Cambria" w:hAnsi="Cambria"/>
      <w:b w:val="1"/>
      <w:sz w:val="32"/>
    </w:rPr>
  </w:style>
  <w:style w:styleId="Style_2_ch" w:type="character">
    <w:name w:val="Title"/>
    <w:basedOn w:val="Style_7_ch"/>
    <w:link w:val="Style_2"/>
    <w:rPr>
      <w:rFonts w:ascii="Cambria" w:hAnsi="Cambria"/>
      <w:b w:val="1"/>
      <w:sz w:val="32"/>
    </w:rPr>
  </w:style>
  <w:style w:styleId="Style_34" w:type="paragraph">
    <w:name w:val="heading 4"/>
    <w:next w:val="Style_7"/>
    <w:link w:val="Style_3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Default Paragraph Font"/>
    <w:link w:val="Style_35_ch"/>
  </w:style>
  <w:style w:styleId="Style_35_ch" w:type="character">
    <w:name w:val="Default Paragraph Font"/>
    <w:link w:val="Style_35"/>
  </w:style>
  <w:style w:styleId="Style_36" w:type="paragraph">
    <w:name w:val="heading 2"/>
    <w:next w:val="Style_7"/>
    <w:link w:val="Style_3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styleId="Style_37" w:type="paragraph">
    <w:name w:val="Обычный1"/>
    <w:link w:val="Style_37_ch"/>
    <w:rPr>
      <w:rFonts w:ascii="Calibri" w:hAnsi="Calibri"/>
    </w:rPr>
  </w:style>
  <w:style w:styleId="Style_37_ch" w:type="character">
    <w:name w:val="Обычный1"/>
    <w:link w:val="Style_37"/>
    <w:rPr>
      <w:rFonts w:ascii="Calibri" w:hAnsi="Calibri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2025-01-13T12:02:17Z</dcterms:modified>
</cp:coreProperties>
</file>