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drawing>
          <wp:inline>
            <wp:extent cx="676275" cy="8382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76275" cy="838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ДУМА КАШИНСКОГО МУНИЦИПАЛЬНОГО ОКРУГА</w:t>
      </w:r>
    </w:p>
    <w:p w14:paraId="03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ТВЕРСКОЙ ОБЛАСТИ</w:t>
      </w:r>
    </w:p>
    <w:p w14:paraId="04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8"/>
        </w:rPr>
      </w:pPr>
    </w:p>
    <w:p w14:paraId="05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Р Е Ш Е Н И Е</w:t>
      </w:r>
    </w:p>
    <w:p w14:paraId="06000000">
      <w:pPr>
        <w:widowControl w:val="0"/>
        <w:spacing w:line="288" w:lineRule="auto"/>
        <w:ind/>
        <w:jc w:val="center"/>
        <w:rPr>
          <w:rFonts w:ascii="XO Thames" w:hAnsi="XO Thames"/>
          <w:b w:val="1"/>
          <w:sz w:val="28"/>
        </w:rPr>
      </w:pPr>
    </w:p>
    <w:tbl>
      <w:tblPr>
        <w:tblStyle w:val="Style_1"/>
        <w:tblW w:type="auto" w:w="0"/>
        <w:tblInd w:type="dxa" w:w="-108"/>
        <w:tblLayout w:type="fixed"/>
      </w:tblPr>
      <w:tblGrid>
        <w:gridCol w:w="236"/>
        <w:gridCol w:w="4506"/>
        <w:gridCol w:w="1164"/>
        <w:gridCol w:w="284"/>
        <w:gridCol w:w="3402"/>
      </w:tblGrid>
      <w:tr>
        <w:trPr>
          <w:trHeight w:hRule="atLeast" w:val="618"/>
        </w:trPr>
        <w:tc>
          <w:tcPr>
            <w:tcW w:type="dxa" w:w="236"/>
          </w:tcPr>
          <w:p w14:paraId="07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356"/>
            <w:gridSpan w:val="4"/>
          </w:tcPr>
          <w:p w14:paraId="08000000">
            <w:pPr>
              <w:widowControl w:val="0"/>
              <w:tabs>
                <w:tab w:leader="none" w:pos="2552" w:val="left"/>
                <w:tab w:leader="none" w:pos="4536" w:val="center"/>
                <w:tab w:leader="none" w:pos="7513" w:val="left"/>
                <w:tab w:leader="none" w:pos="9072" w:val="left"/>
              </w:tabs>
              <w:spacing w:line="360" w:lineRule="auto"/>
              <w:ind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от </w:t>
            </w:r>
            <w:r>
              <w:rPr>
                <w:rFonts w:ascii="XO Thames" w:hAnsi="XO Thames"/>
                <w:sz w:val="28"/>
                <w:u w:val="single"/>
              </w:rPr>
              <w:t xml:space="preserve"> 25.02.2025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г. Кашин</w:t>
            </w:r>
            <w:r>
              <w:rPr>
                <w:rFonts w:ascii="XO Thames" w:hAnsi="XO Thames"/>
                <w:sz w:val="28"/>
              </w:rPr>
              <w:tab/>
            </w:r>
            <w:r>
              <w:rPr>
                <w:rFonts w:ascii="XO Thames" w:hAnsi="XO Thames"/>
                <w:sz w:val="28"/>
              </w:rPr>
              <w:t>№</w:t>
            </w:r>
            <w:r>
              <w:rPr>
                <w:rFonts w:ascii="XO Thames" w:hAnsi="XO Thames"/>
                <w:sz w:val="28"/>
                <w:u w:val="single"/>
              </w:rPr>
              <w:t xml:space="preserve">  130</w:t>
            </w:r>
            <w:r>
              <w:rPr>
                <w:rFonts w:ascii="XO Thames" w:hAnsi="XO Thames"/>
                <w:sz w:val="28"/>
                <w:u w:val="single"/>
              </w:rPr>
              <w:tab/>
            </w:r>
          </w:p>
        </w:tc>
      </w:tr>
      <w:tr>
        <w:trPr>
          <w:trHeight w:hRule="atLeast" w:val="988"/>
        </w:trPr>
        <w:tc>
          <w:tcPr>
            <w:tcW w:type="dxa" w:w="236"/>
          </w:tcPr>
          <w:p w14:paraId="09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4506"/>
          </w:tcPr>
          <w:p w14:paraId="0A000000">
            <w:pPr>
              <w:widowControl w:val="0"/>
              <w:spacing w:line="252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 утверждении Положения о муниципальном жилищном контроле на территории Кашинского муниципального округа Тверской области</w:t>
            </w:r>
          </w:p>
        </w:tc>
        <w:tc>
          <w:tcPr>
            <w:tcW w:type="dxa" w:w="4850"/>
            <w:gridSpan w:val="3"/>
          </w:tcPr>
          <w:p w14:paraId="0B000000">
            <w:pPr>
              <w:widowControl w:val="0"/>
              <w:spacing w:line="252" w:lineRule="auto"/>
              <w:ind/>
              <w:jc w:val="center"/>
              <w:rPr>
                <w:rFonts w:ascii="XO Thames" w:hAnsi="XO Thames"/>
                <w:b w:val="1"/>
                <w:sz w:val="28"/>
              </w:rPr>
            </w:pPr>
          </w:p>
        </w:tc>
      </w:tr>
      <w:tr>
        <w:tc>
          <w:tcPr>
            <w:tcW w:type="dxa" w:w="5906"/>
            <w:gridSpan w:val="3"/>
            <w:shd w:fill="auto" w:val="clear"/>
          </w:tcPr>
          <w:p w14:paraId="0C000000">
            <w:pPr>
              <w:widowControl w:val="0"/>
              <w:ind w:right="101"/>
              <w:rPr>
                <w:rFonts w:ascii="XO Thames" w:hAnsi="XO Thames"/>
                <w:b w:val="1"/>
                <w:sz w:val="28"/>
              </w:rPr>
            </w:pPr>
          </w:p>
        </w:tc>
        <w:tc>
          <w:tcPr>
            <w:tcW w:type="dxa" w:w="284"/>
            <w:shd w:fill="auto" w:val="clear"/>
          </w:tcPr>
          <w:p w14:paraId="0D000000">
            <w:pPr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3402"/>
            <w:shd w:fill="auto" w:val="clear"/>
          </w:tcPr>
          <w:p w14:paraId="0E000000">
            <w:pPr>
              <w:widowControl w:val="0"/>
              <w:tabs>
                <w:tab w:leader="none" w:pos="4358" w:val="left"/>
              </w:tabs>
              <w:ind w:right="-2"/>
              <w:jc w:val="right"/>
              <w:rPr>
                <w:rFonts w:ascii="XO Thames" w:hAnsi="XO Thames"/>
                <w:sz w:val="28"/>
              </w:rPr>
            </w:pPr>
          </w:p>
        </w:tc>
      </w:tr>
    </w:tbl>
    <w:p w14:paraId="0F000000">
      <w:pPr>
        <w:widowControl w:val="0"/>
        <w:tabs>
          <w:tab w:leader="none" w:pos="10205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>
        <w:rPr>
          <w:rFonts w:ascii="XO Thames" w:hAnsi="XO Thames"/>
          <w:sz w:val="28"/>
        </w:rPr>
        <w:t xml:space="preserve">Законом Тверской области от 10.10.2024г. №39-ЗО «О наделении муниципального образования Кашинский городской округ Тверской области статусом муниципального округа и внесении изменений в отдельные законы Тверской области», </w:t>
      </w:r>
      <w:r>
        <w:rPr>
          <w:rFonts w:ascii="XO Thames" w:hAnsi="XO Thames"/>
          <w:sz w:val="28"/>
        </w:rPr>
        <w:t xml:space="preserve"> Уставом Кашинского муниципального округа Тверской области</w:t>
      </w:r>
    </w:p>
    <w:tbl>
      <w:tblPr>
        <w:tblStyle w:val="Style_1"/>
        <w:tblW w:type="auto" w:w="0"/>
        <w:tblLayout w:type="fixed"/>
      </w:tblPr>
      <w:tblGrid>
        <w:gridCol w:w="1242"/>
        <w:gridCol w:w="6804"/>
        <w:gridCol w:w="1418"/>
      </w:tblGrid>
      <w:tr>
        <w:tc>
          <w:tcPr>
            <w:tcW w:type="dxa" w:w="1242"/>
            <w:shd w:fill="auto" w:val="clear"/>
          </w:tcPr>
          <w:p w14:paraId="10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1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12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242"/>
            <w:shd w:fill="auto" w:val="clear"/>
          </w:tcPr>
          <w:p w14:paraId="13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4000000">
            <w:pPr>
              <w:widowControl w:val="0"/>
              <w:tabs>
                <w:tab w:leader="none" w:pos="10205" w:val="left"/>
              </w:tabs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ДУМА КАШИНСКОГО МУНИЦИПАЛЬНОГО ОКРУГА ТВЕРСКОЙ ОБЛАСТИ РЕШИЛА:</w:t>
            </w:r>
          </w:p>
        </w:tc>
        <w:tc>
          <w:tcPr>
            <w:tcW w:type="dxa" w:w="1418"/>
            <w:shd w:fill="auto" w:val="clear"/>
          </w:tcPr>
          <w:p w14:paraId="15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</w:tr>
      <w:tr>
        <w:tc>
          <w:tcPr>
            <w:tcW w:type="dxa" w:w="1242"/>
            <w:shd w:fill="auto" w:val="clear"/>
          </w:tcPr>
          <w:p w14:paraId="16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6804"/>
            <w:shd w:fill="auto" w:val="clear"/>
          </w:tcPr>
          <w:p w14:paraId="17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18000000">
            <w:pPr>
              <w:widowControl w:val="0"/>
              <w:tabs>
                <w:tab w:leader="none" w:pos="10205" w:val="left"/>
              </w:tabs>
              <w:ind w:firstLine="709" w:left="0"/>
              <w:jc w:val="both"/>
              <w:rPr>
                <w:rFonts w:ascii="XO Thames" w:hAnsi="XO Thames"/>
                <w:sz w:val="28"/>
              </w:rPr>
            </w:pPr>
          </w:p>
        </w:tc>
      </w:tr>
    </w:tbl>
    <w:p w14:paraId="19000000">
      <w:pPr>
        <w:widowControl w:val="0"/>
        <w:numPr>
          <w:ilvl w:val="0"/>
          <w:numId w:val="1"/>
        </w:numPr>
        <w:tabs>
          <w:tab w:leader="none" w:pos="1134" w:val="left"/>
        </w:tabs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Утвердить Положение о муниципальном жилищном контроле на территории Кашинского муниципального округа Тверской области (приложение).</w:t>
      </w:r>
    </w:p>
    <w:p w14:paraId="1A000000">
      <w:pPr>
        <w:widowControl w:val="0"/>
        <w:numPr>
          <w:ilvl w:val="0"/>
          <w:numId w:val="1"/>
        </w:numPr>
        <w:tabs>
          <w:tab w:leader="none" w:pos="1134" w:val="left"/>
        </w:tabs>
        <w:ind w:firstLine="567" w:left="0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ризнать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утратившим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силу р</w:t>
      </w:r>
      <w:r>
        <w:rPr>
          <w:rFonts w:ascii="Times New Roman" w:hAnsi="Times New Roman"/>
          <w:sz w:val="28"/>
        </w:rPr>
        <w:t xml:space="preserve">ешение Кашинской городской Думы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21.12.2021 </w:t>
      </w:r>
      <w:r>
        <w:rPr>
          <w:rFonts w:ascii="Times New Roman" w:hAnsi="Times New Roman"/>
          <w:sz w:val="28"/>
        </w:rPr>
        <w:t>№322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 о муниципальном жилищном контроле в Кашинском городском округе Тверской области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B000000">
      <w:pPr>
        <w:widowControl w:val="0"/>
        <w:numPr>
          <w:ilvl w:val="0"/>
          <w:numId w:val="1"/>
        </w:numPr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Настоящее решение вступает в силу после его официального опубликования в газете «Кашинская газета» и подлежит размещению на официальном сайте Кашинского муниципального округа Тверской области в информационно-телекоммуникационной сети Интернет.</w:t>
      </w:r>
    </w:p>
    <w:p w14:paraId="1C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D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</w:p>
    <w:p w14:paraId="1E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Думы Кашинского </w:t>
      </w:r>
    </w:p>
    <w:p w14:paraId="1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округа Тверской области                                 И.А. Мурашова</w:t>
      </w:r>
    </w:p>
    <w:p w14:paraId="20000000">
      <w:pPr>
        <w:rPr>
          <w:rFonts w:ascii="XO Thames" w:hAnsi="XO Thames"/>
          <w:sz w:val="28"/>
        </w:rPr>
      </w:pPr>
    </w:p>
    <w:p w14:paraId="21000000">
      <w:pPr>
        <w:rPr>
          <w:rFonts w:ascii="XO Thames" w:hAnsi="XO Thames"/>
          <w:sz w:val="28"/>
        </w:rPr>
      </w:pPr>
    </w:p>
    <w:p w14:paraId="22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И.о.Главы Кашинского муниципального</w:t>
      </w:r>
    </w:p>
    <w:p w14:paraId="23000000">
      <w:pPr>
        <w:widowControl w:val="0"/>
        <w:tabs>
          <w:tab w:leader="none" w:pos="10205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округа Тверской области                                                                   С.В.Суханова</w:t>
      </w:r>
    </w:p>
    <w:sectPr>
      <w:pgSz w:h="16838" w:orient="portrait" w:w="11906"/>
      <w:pgMar w:bottom="680" w:footer="708" w:gutter="0" w:header="708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0"/>
        <w:ind w:hanging="360" w:left="720"/>
      </w:pPr>
    </w:lvl>
    <w:lvl w:ilvl="1">
      <w:start w:val="1"/>
      <w:numFmt w:val="lowerLetter"/>
      <w:lvlText w:val="%2."/>
      <w:lvlJc w:val="left"/>
      <w:pPr>
        <w:widowControl w:val="0"/>
        <w:ind w:hanging="360" w:left="1440"/>
      </w:pPr>
    </w:lvl>
    <w:lvl w:ilvl="2">
      <w:start w:val="1"/>
      <w:numFmt w:val="lowerRoman"/>
      <w:lvlText w:val="%3."/>
      <w:lvlJc w:val="right"/>
      <w:pPr>
        <w:widowControl w:val="0"/>
        <w:ind w:hanging="360" w:left="2160"/>
      </w:pPr>
    </w:lvl>
    <w:lvl w:ilvl="3">
      <w:start w:val="1"/>
      <w:numFmt w:val="decimal"/>
      <w:lvlText w:val="%4."/>
      <w:lvlJc w:val="left"/>
      <w:pPr>
        <w:widowControl w:val="0"/>
        <w:ind w:hanging="360" w:left="2880"/>
      </w:pPr>
    </w:lvl>
    <w:lvl w:ilvl="4">
      <w:start w:val="1"/>
      <w:numFmt w:val="lowerLetter"/>
      <w:lvlText w:val="%5."/>
      <w:lvlJc w:val="left"/>
      <w:pPr>
        <w:widowControl w:val="0"/>
        <w:ind w:hanging="360" w:left="3600"/>
      </w:pPr>
    </w:lvl>
    <w:lvl w:ilvl="5">
      <w:start w:val="1"/>
      <w:numFmt w:val="lowerRoman"/>
      <w:lvlText w:val="%6."/>
      <w:lvlJc w:val="right"/>
      <w:pPr>
        <w:widowControl w:val="0"/>
        <w:ind w:hanging="360" w:left="4320"/>
      </w:pPr>
    </w:lvl>
    <w:lvl w:ilvl="6">
      <w:start w:val="1"/>
      <w:numFmt w:val="decimal"/>
      <w:lvlText w:val="%7."/>
      <w:lvlJc w:val="left"/>
      <w:pPr>
        <w:widowControl w:val="0"/>
        <w:ind w:hanging="360" w:left="5040"/>
      </w:pPr>
    </w:lvl>
    <w:lvl w:ilvl="7">
      <w:start w:val="1"/>
      <w:numFmt w:val="lowerLetter"/>
      <w:lvlText w:val="%8."/>
      <w:lvlJc w:val="left"/>
      <w:pPr>
        <w:widowControl w:val="0"/>
        <w:ind w:hanging="360" w:left="5760"/>
      </w:pPr>
    </w:lvl>
    <w:lvl w:ilvl="8">
      <w:start w:val="1"/>
      <w:numFmt w:val="lowerRoman"/>
      <w:lvlText w:val="%9."/>
      <w:lvlJc w:val="right"/>
      <w:pPr>
        <w:widowControl w:val="0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Tms Rmn" w:hAnsi="Tms Rmn"/>
      <w:sz w:val="20"/>
    </w:rPr>
  </w:style>
  <w:style w:default="1" w:styleId="Style_2_ch" w:type="character">
    <w:name w:val="Normal"/>
    <w:link w:val="Style_2"/>
    <w:rPr>
      <w:rFonts w:ascii="Tms Rmn" w:hAnsi="Tms Rmn"/>
      <w:sz w:val="20"/>
    </w:rPr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7"/>
    <w:next w:val="Style_2"/>
    <w:link w:val="Style_7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бычный1"/>
    <w:link w:val="Style_8_ch"/>
    <w:rPr>
      <w:rFonts w:ascii="Tms Rmn" w:hAnsi="Tms Rmn"/>
      <w:sz w:val="20"/>
    </w:rPr>
  </w:style>
  <w:style w:styleId="Style_8_ch" w:type="character">
    <w:name w:val="Обычный1"/>
    <w:link w:val="Style_8"/>
    <w:rPr>
      <w:rFonts w:ascii="Tms Rmn" w:hAnsi="Tms Rmn"/>
      <w:sz w:val="20"/>
    </w:rPr>
  </w:style>
  <w:style w:styleId="Style_9" w:type="paragraph">
    <w:name w:val="Endnote"/>
    <w:link w:val="Style_9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Знак сноски1"/>
    <w:basedOn w:val="Style_2"/>
    <w:link w:val="Style_12_ch"/>
    <w:pPr>
      <w:widowControl w:val="0"/>
      <w:spacing w:after="200" w:line="276" w:lineRule="auto"/>
      <w:ind/>
    </w:pPr>
    <w:rPr>
      <w:rFonts w:ascii="Times New Roman" w:hAnsi="Times New Roman"/>
      <w:sz w:val="22"/>
      <w:vertAlign w:val="superscript"/>
    </w:rPr>
  </w:style>
  <w:style w:styleId="Style_12_ch" w:type="character">
    <w:name w:val="Знак сноски1"/>
    <w:basedOn w:val="Style_2_ch"/>
    <w:link w:val="Style_12"/>
    <w:rPr>
      <w:rFonts w:ascii="Times New Roman" w:hAnsi="Times New Roman"/>
      <w:sz w:val="22"/>
      <w:vertAlign w:val="superscript"/>
    </w:rPr>
  </w:style>
  <w:style w:styleId="Style_13" w:type="paragraph">
    <w:name w:val="toc 3"/>
    <w:next w:val="Style_2"/>
    <w:link w:val="Style_13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heading 5"/>
    <w:next w:val="Style_2"/>
    <w:link w:val="Style_15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basedOn w:val="Style_2"/>
    <w:next w:val="Style_2"/>
    <w:link w:val="Style_16_ch"/>
    <w:uiPriority w:val="9"/>
    <w:qFormat/>
    <w:pPr>
      <w:keepNext w:val="1"/>
      <w:widowControl w:val="0"/>
      <w:spacing w:before="120" w:line="360" w:lineRule="auto"/>
      <w:ind/>
      <w:jc w:val="center"/>
      <w:outlineLvl w:val="0"/>
    </w:pPr>
    <w:rPr>
      <w:rFonts w:ascii="Arial" w:hAnsi="Arial"/>
      <w:b w:val="1"/>
      <w:sz w:val="30"/>
    </w:rPr>
  </w:style>
  <w:style w:styleId="Style_16_ch" w:type="character">
    <w:name w:val="heading 1"/>
    <w:basedOn w:val="Style_2_ch"/>
    <w:link w:val="Style_16"/>
    <w:rPr>
      <w:rFonts w:ascii="Arial" w:hAnsi="Arial"/>
      <w:b w:val="1"/>
      <w:sz w:val="30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basedOn w:val="Style_2"/>
    <w:link w:val="Style_18_ch"/>
  </w:style>
  <w:style w:styleId="Style_18_ch" w:type="character">
    <w:name w:val="Footnote"/>
    <w:basedOn w:val="Style_2_ch"/>
    <w:link w:val="Style_18"/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2"/>
    <w:link w:val="Style_23_ch"/>
    <w:rPr>
      <w:rFonts w:ascii="Segoe UI" w:hAnsi="Segoe UI"/>
      <w:sz w:val="18"/>
    </w:rPr>
  </w:style>
  <w:style w:styleId="Style_23_ch" w:type="character">
    <w:name w:val="Balloon Text"/>
    <w:basedOn w:val="Style_2_ch"/>
    <w:link w:val="Style_23"/>
    <w:rPr>
      <w:rFonts w:ascii="Segoe UI" w:hAnsi="Segoe UI"/>
      <w:sz w:val="18"/>
    </w:rPr>
  </w:style>
  <w:style w:styleId="Style_24" w:type="paragraph">
    <w:name w:val="toc 5"/>
    <w:next w:val="Style_2"/>
    <w:link w:val="Style_24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2025-02-26T06:17:36Z</dcterms:modified>
</cp:coreProperties>
</file>