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46"/>
        <w:gridCol w:w="1799"/>
        <w:gridCol w:w="1086"/>
        <w:gridCol w:w="2382"/>
        <w:gridCol w:w="687"/>
        <w:gridCol w:w="1498"/>
      </w:tblGrid>
      <w:tr>
        <w:trPr>
          <w:trHeight w:hRule="atLeast" w:val="360"/>
        </w:trPr>
        <w:tc>
          <w:tcPr>
            <w:tcW w:type="dxa" w:w="9639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89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b w:val="1"/>
                <w:caps w:val="1"/>
                <w:sz w:val="32"/>
              </w:rPr>
            </w:pPr>
            <w:r>
              <w:rPr>
                <w:b w:val="1"/>
                <w:caps w:val="1"/>
              </w:rPr>
              <w:t>Дума Кашинского муниципального округа</w:t>
            </w:r>
          </w:p>
          <w:p w14:paraId="03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b w:val="1"/>
                <w:caps w:val="1"/>
                <w:sz w:val="32"/>
              </w:rPr>
            </w:pPr>
            <w:r>
              <w:rPr>
                <w:b w:val="1"/>
                <w:caps w:val="1"/>
              </w:rPr>
              <w:t>ТВЕРСКОЙ ОБЛАСТИ</w:t>
            </w:r>
          </w:p>
          <w:p w14:paraId="04000000">
            <w:pPr>
              <w:pStyle w:val="Style_2"/>
              <w:widowControl w:val="1"/>
              <w:spacing w:after="120" w:before="120"/>
              <w:ind w:firstLine="0" w:left="120" w:right="120"/>
              <w:jc w:val="center"/>
              <w:rPr>
                <w:rFonts w:ascii="XO Thames" w:hAnsi="XO Thames"/>
                <w:b w:val="1"/>
                <w:sz w:val="32"/>
              </w:rPr>
            </w:pPr>
          </w:p>
          <w:p w14:paraId="05000000">
            <w:pPr>
              <w:pStyle w:val="Style_2"/>
              <w:widowControl w:val="1"/>
              <w:spacing w:after="120" w:before="120"/>
              <w:ind w:firstLine="0" w:left="120" w:right="120"/>
              <w:jc w:val="center"/>
              <w:rPr>
                <w:rFonts w:ascii="XO Thames" w:hAnsi="XO Thames"/>
                <w:b w:val="1"/>
                <w:sz w:val="32"/>
              </w:rPr>
            </w:pPr>
            <w:r>
              <w:rPr>
                <w:rFonts w:ascii="XO Thames" w:hAnsi="XO Thames"/>
                <w:b w:val="1"/>
                <w:sz w:val="32"/>
              </w:rPr>
              <w:t>Р Е Ш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64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pPr>
              <w:pStyle w:val="Style_2"/>
            </w:pPr>
            <w:r>
              <w:t>25.02.2025</w:t>
            </w:r>
          </w:p>
        </w:tc>
        <w:tc>
          <w:tcPr>
            <w:tcW w:type="dxa" w:w="5267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type="dxa" w:w="6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49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pStyle w:val="Style_2"/>
            </w:pPr>
            <w:r>
              <w:t>123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1"/>
              <w:ind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1596"/>
        </w:trPr>
        <w:tc>
          <w:tcPr>
            <w:tcW w:type="dxa" w:w="5072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widowControl w:val="1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внесении изменений в решение</w:t>
            </w:r>
          </w:p>
          <w:p w14:paraId="0D000000">
            <w:pPr>
              <w:widowControl w:val="1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Кашинской городской Думы</w:t>
            </w:r>
          </w:p>
          <w:p w14:paraId="0E000000">
            <w:pPr>
              <w:widowControl w:val="1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25.12.2024 № 87 «О бюджете</w:t>
            </w:r>
          </w:p>
          <w:p w14:paraId="0F000000">
            <w:pPr>
              <w:widowControl w:val="1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Кашинского муниципального округа</w:t>
            </w:r>
          </w:p>
          <w:p w14:paraId="10000000">
            <w:pPr>
              <w:widowControl w:val="1"/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Тверской области</w:t>
            </w:r>
          </w:p>
          <w:p w14:paraId="11000000">
            <w:pPr>
              <w:widowControl w:val="1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2025 год и на плановый период</w:t>
            </w:r>
          </w:p>
          <w:p w14:paraId="12000000">
            <w:pPr>
              <w:widowControl w:val="1"/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 и 2027 годов»</w:t>
            </w:r>
          </w:p>
        </w:tc>
        <w:tc>
          <w:tcPr>
            <w:tcW w:type="dxa" w:w="4567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1"/>
              <w:ind/>
              <w:rPr>
                <w:rFonts w:ascii="XO Thames" w:hAnsi="XO Thames"/>
                <w:sz w:val="28"/>
              </w:rPr>
            </w:pPr>
          </w:p>
        </w:tc>
      </w:tr>
    </w:tbl>
    <w:p w14:paraId="14000000">
      <w:pPr>
        <w:pStyle w:val="Style_2"/>
      </w:pPr>
    </w:p>
    <w:p w14:paraId="15000000">
      <w:pPr>
        <w:pStyle w:val="Style_2"/>
        <w:widowControl w:val="1"/>
        <w:ind w:firstLine="709" w:left="0"/>
      </w:pPr>
    </w:p>
    <w:p w14:paraId="16000000">
      <w:pPr>
        <w:pStyle w:val="Style_2"/>
        <w:widowControl w:val="1"/>
        <w:ind w:firstLine="709" w:left="0"/>
      </w:pPr>
    </w:p>
    <w:p w14:paraId="17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Уставом Кашинского муниципального округа Тверской области </w:t>
      </w:r>
      <w:r>
        <w:rPr>
          <w:rFonts w:ascii="Times New Roman" w:hAnsi="Times New Roman"/>
          <w:sz w:val="28"/>
        </w:rPr>
        <w:t> </w:t>
      </w:r>
    </w:p>
    <w:p w14:paraId="1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9000000">
      <w:pPr>
        <w:pStyle w:val="Style_2"/>
        <w:widowControl w:val="1"/>
        <w:ind/>
        <w:jc w:val="center"/>
        <w:rPr>
          <w:rFonts w:ascii="XO Thames" w:hAnsi="XO Thames"/>
          <w:b w:val="1"/>
          <w:caps w:val="1"/>
          <w:sz w:val="32"/>
        </w:rPr>
      </w:pPr>
      <w:r>
        <w:rPr>
          <w:b w:val="1"/>
          <w:caps w:val="1"/>
        </w:rPr>
        <w:t>Дума Кашинского муниципального округа</w:t>
      </w:r>
    </w:p>
    <w:p w14:paraId="1A000000">
      <w:pPr>
        <w:pStyle w:val="Style_2"/>
        <w:widowControl w:val="1"/>
        <w:ind/>
        <w:jc w:val="center"/>
        <w:rPr>
          <w:rFonts w:ascii="XO Thames" w:hAnsi="XO Thames"/>
          <w:b w:val="1"/>
          <w:caps w:val="1"/>
          <w:sz w:val="32"/>
        </w:rPr>
      </w:pPr>
      <w:r>
        <w:rPr>
          <w:b w:val="1"/>
          <w:caps w:val="1"/>
        </w:rPr>
        <w:t>ТВЕРСКОЙ ОБЛАСТИ</w:t>
      </w:r>
      <w:r>
        <w:rPr>
          <w:b w:val="1"/>
        </w:rPr>
        <w:t xml:space="preserve"> РЕШИЛА: </w:t>
      </w:r>
    </w:p>
    <w:p w14:paraId="1B000000">
      <w:pPr>
        <w:pStyle w:val="Style_2"/>
      </w:pPr>
    </w:p>
    <w:p w14:paraId="1C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Внести в решение Кашинской городской Думы от 25.12.2024 № 87 </w:t>
      </w:r>
      <w:r>
        <w:rPr>
          <w:rFonts w:ascii="Times New Roman" w:hAnsi="Times New Roman"/>
          <w:color w:val="000000"/>
          <w:sz w:val="28"/>
        </w:rPr>
        <w:t xml:space="preserve">«О бюджете </w:t>
      </w:r>
      <w:r>
        <w:rPr>
          <w:rFonts w:ascii="Times New Roman" w:hAnsi="Times New Roman"/>
          <w:color w:val="000000"/>
          <w:sz w:val="28"/>
        </w:rPr>
        <w:t xml:space="preserve">Кашинского муниципального округа </w:t>
      </w:r>
      <w:r>
        <w:rPr>
          <w:rFonts w:ascii="Times New Roman" w:hAnsi="Times New Roman"/>
          <w:color w:val="000000"/>
          <w:sz w:val="28"/>
        </w:rPr>
        <w:t xml:space="preserve">Тверской области </w:t>
      </w:r>
      <w:r>
        <w:rPr>
          <w:rFonts w:ascii="Times New Roman" w:hAnsi="Times New Roman"/>
          <w:color w:val="000000"/>
          <w:sz w:val="28"/>
        </w:rPr>
        <w:t xml:space="preserve">на 2025 год и на плановый период </w:t>
      </w:r>
      <w:r>
        <w:rPr>
          <w:rFonts w:ascii="Times New Roman" w:hAnsi="Times New Roman"/>
          <w:color w:val="000000"/>
          <w:sz w:val="28"/>
        </w:rPr>
        <w:t>2026 и 2027 годов»</w:t>
      </w:r>
      <w:r>
        <w:rPr>
          <w:rFonts w:ascii="Times New Roman" w:hAnsi="Times New Roman"/>
          <w:color w:val="000000"/>
          <w:sz w:val="28"/>
        </w:rPr>
        <w:t xml:space="preserve"> (далее - Решение) следующие изменения:</w:t>
      </w:r>
    </w:p>
    <w:p w14:paraId="1D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статье 1 Решения:</w:t>
      </w:r>
    </w:p>
    <w:p w14:paraId="1E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1 изложить в следующей редакции:</w:t>
      </w:r>
    </w:p>
    <w:p w14:paraId="1F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Утвердить основные характеристики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на 2025 год:</w:t>
      </w:r>
    </w:p>
    <w:p w14:paraId="20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общий объем доходов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 xml:space="preserve"> в сумме1006935,8 тыс. руб.;</w:t>
      </w:r>
    </w:p>
    <w:p w14:paraId="21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 xml:space="preserve"> в сумме 1088314,1 тыс. руб.;</w:t>
      </w:r>
    </w:p>
    <w:p w14:paraId="22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дефицит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 xml:space="preserve"> в сумме 81 378,3 тыс. руб.»;</w:t>
      </w:r>
    </w:p>
    <w:p w14:paraId="23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2 изложить в следующей редакции:</w:t>
      </w:r>
    </w:p>
    <w:p w14:paraId="24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Утвердить основные характеристики бюджета на 2026 и 2027 годы:</w:t>
      </w:r>
    </w:p>
    <w:p w14:paraId="25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общий объем доходов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на 2026 год в сумме 942577,7 тыс. руб. и на 2027 год в сумме 938161,2 тыс. руб.;</w:t>
      </w:r>
    </w:p>
    <w:p w14:paraId="26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 xml:space="preserve"> на 2026 год в сумме 942577,7 тыс. руб.,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условно утвержденные расходы в сумме 12300,0 тыс. руб., на 2027 год в сумме 938161,2 тыс. руб., в том числе условно утвержденные расходы в сумме 23900,0 тыс. руб.;</w:t>
      </w:r>
    </w:p>
    <w:p w14:paraId="27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дефицит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 xml:space="preserve"> на 2026 год равен нулю и на 2027 год равен нулю»;</w:t>
      </w:r>
    </w:p>
    <w:p w14:paraId="28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пункт 3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9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«Утвердить объем межбюджетных трансфертов, получаемых из других бюджетов бюджетной системы Российской Федерации, в 2025 году в сумме 501739,1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тыс. руб., </w:t>
      </w:r>
      <w:r>
        <w:rPr>
          <w:rFonts w:ascii="Times New Roman" w:hAnsi="Times New Roman"/>
          <w:color w:val="000000"/>
          <w:sz w:val="28"/>
        </w:rPr>
        <w:t>в 2026 году в сумме 454674,4 тыс. руб., в 2027 году в сумме 461032,6 тыс. руб.»;</w:t>
      </w:r>
    </w:p>
    <w:p w14:paraId="2A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в статье 7 Решения слова «на 2025 год в сумме 2981,4 тыс. руб.» заменить словами </w:t>
      </w:r>
      <w:r>
        <w:rPr>
          <w:rFonts w:ascii="Times New Roman" w:hAnsi="Times New Roman"/>
          <w:color w:val="000000"/>
          <w:sz w:val="28"/>
        </w:rPr>
        <w:t xml:space="preserve">«на 2025 год в сумме 3359,4 тыс. руб.», </w:t>
      </w:r>
      <w:r>
        <w:rPr>
          <w:rFonts w:ascii="Times New Roman" w:hAnsi="Times New Roman"/>
          <w:color w:val="000000"/>
          <w:sz w:val="28"/>
        </w:rPr>
        <w:t xml:space="preserve">слова «на 2026 год в сумме 2981,4 тыс. руб.» заменить словами </w:t>
      </w:r>
      <w:r>
        <w:rPr>
          <w:rFonts w:ascii="Times New Roman" w:hAnsi="Times New Roman"/>
          <w:color w:val="000000"/>
          <w:sz w:val="28"/>
        </w:rPr>
        <w:t>«на 2026 год в сумме 3359,4 тыс. руб.»,</w:t>
      </w:r>
      <w:r>
        <w:rPr>
          <w:rFonts w:ascii="Times New Roman" w:hAnsi="Times New Roman"/>
          <w:color w:val="000000"/>
          <w:sz w:val="28"/>
        </w:rPr>
        <w:t xml:space="preserve">слова «на 2027 год в сумме 2981,4 тыс. руб.» заменить словами </w:t>
      </w:r>
      <w:r>
        <w:rPr>
          <w:rFonts w:ascii="Times New Roman" w:hAnsi="Times New Roman"/>
          <w:color w:val="000000"/>
          <w:sz w:val="28"/>
        </w:rPr>
        <w:t>«на 2027 год в сумме 3359,4 тыс. руб.»;</w:t>
      </w:r>
    </w:p>
    <w:p w14:paraId="2B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в статье 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Решения слова « на 2025 год в сумме 123394,3 тыс. руб.» заменить словами « на 2025 год в сумме 144476,0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тыс. руб.»;</w:t>
      </w:r>
    </w:p>
    <w:p w14:paraId="2C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в статье 7 Решения:</w:t>
      </w:r>
    </w:p>
    <w:p w14:paraId="2D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а) в пункте 1 слова «в 2025 году в сумме 326658,1 тыс. руб.» заменить словами «в 2025 году в сумме 326124,8 тыс. руб.», слова «в 2026 году в сумме 330162,6 тыс. руб.» заменить словами «в 2026 году в сумме 329638,1 тыс. руб.», слова «в 2027 году в сумме337609,3 тыс. руб.» заменить словами «в 2027 году в сумме 337109,8 тыс. руб.»;</w:t>
      </w:r>
    </w:p>
    <w:p w14:paraId="2E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б) в подпункте 4 слова «в 2025 году в сумме1211,5 тыс. руб.» заменить словами «в 2025 году в сумме 1307,0 тыс. руб.», слова «в 2026 году в сумме 1211,5 тыс. руб.» заменить словами «в 2026 году в сумме 1307,0 тыс. руб.», слова «в 2027 году в сумме 1211,5 тыс. руб.» заменить словами «в 2027 году в сумме 1307,0 тыс. руб.»;</w:t>
      </w:r>
    </w:p>
    <w:p w14:paraId="2F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 </w:t>
      </w:r>
      <w:r>
        <w:rPr>
          <w:rFonts w:ascii="Times New Roman" w:hAnsi="Times New Roman"/>
          <w:color w:val="000000"/>
          <w:sz w:val="28"/>
        </w:rPr>
        <w:t>в подпункте 5 слова «в 2025 году в сумме 447,1 тыс. руб.» заменить словами «в 2025 году в сумме 636,4 тыс. руб.», слова «в 2026 году в сумме 451,0 тыс. руб.» заменить словами «в 2026 году в сумме 640,2 тыс. руб.», слова «в 2027 году в сумме 455,0 тыс. руб.» заменить словами «в 2027 году в сумме 644,3 тыс. руб.»;</w:t>
      </w:r>
    </w:p>
    <w:p w14:paraId="30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г) в подпункте 7 слова «в 2025 году в сумме 197245,2 тыс. руб.» заменить словами «в 2025 году в сумме 197244,3 тыс. руб.»;</w:t>
      </w:r>
    </w:p>
    <w:p w14:paraId="31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д) в подпункте 8 слова «в 2025 году в сумме 193,4 тыс. руб.» заменить словами «в 2025 году в сумме 309,5 тыс. руб.», слова «в 2026 году в сумме 194,8 тыс. руб.» заменить словами «в 2026 году в сумме 311,1 тыс. руб.», слова «в 2027 году в сумме 196,4 тыс. руб.» заменить словами «в 2027 году в сумме 312,7 тыс. руб.»;</w:t>
      </w:r>
    </w:p>
    <w:p w14:paraId="32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е) </w:t>
      </w:r>
      <w:r>
        <w:rPr>
          <w:rFonts w:ascii="Times New Roman" w:hAnsi="Times New Roman"/>
          <w:color w:val="000000"/>
          <w:sz w:val="28"/>
        </w:rPr>
        <w:t>в подпункте 11 слова «в 2025 году в сумме 17967,6 тыс. руб.» заменить словами «в 2025 году в сумме 17030,2 тыс. руб.», слова «в 2026 году в сумме 17967,6 тыс. руб.» заменить словами «в 2026 году в сумме 17030,2 тыс. руб.», слова «в 2027 году в сумме 17967,6 тыс. руб.» заменить словами «в 2027 году в сумме 17030,2 тыс. руб.»;</w:t>
      </w:r>
    </w:p>
    <w:p w14:paraId="33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34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ё) в подпункте 12 слова «в 2025 году в сумме 1351,6 тыс. руб.» заменить словами «в 2025 году в сумме 1355,7 тыс. руб.», слова «в 2026 году в сумме 1364,4 тыс. руб.» заменить словами «в 2026 году в сумме 1351,6 тыс. руб.», слова «в 2027 году в сумме 1364,4</w:t>
      </w:r>
      <w:r>
        <w:rPr>
          <w:rFonts w:ascii="Times New Roman" w:hAnsi="Times New Roman"/>
          <w:color w:val="000000"/>
          <w:sz w:val="28"/>
        </w:rPr>
        <w:t xml:space="preserve"> тыс. руб.» заменить словами «в 2027 году в сумме 1401,2 тыс. руб.»;</w:t>
      </w:r>
    </w:p>
    <w:p w14:paraId="35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приложение № 1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«Источники финансирования дефицита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 xml:space="preserve"> на 2025 и на плановый период 2026 и 2027 годов»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Решению изложить в новой редакции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№ 1 к настоящему решению;</w:t>
      </w:r>
    </w:p>
    <w:p w14:paraId="36000000">
      <w:pPr>
        <w:widowControl w:val="1"/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 xml:space="preserve">6) приложение № 2 «Прогнозируемые доходы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sz w:val="28"/>
        </w:rPr>
        <w:t xml:space="preserve"> по группам, подгруппам, статьям, подстатьям и элементам доходов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классификации доходов бюджетов Российской Федерации на 2025 год и плановый период 2026 и 2027 годов» к Решению изложить в новой редакции согласно приложению № 2 к настоящему решению;</w:t>
      </w:r>
    </w:p>
    <w:p w14:paraId="37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приложение № 3 «Распределение бюджетных ассигнований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color w:val="000000"/>
          <w:sz w:val="28"/>
        </w:rPr>
        <w:t xml:space="preserve"> по разделам и подразделам классификации расходов бюджетов на 2025 год и на плановый период 2026 и 2027 годов» к Решению изложить в новой редакции согласно приложению № 3 к настоящему решению;</w:t>
      </w:r>
    </w:p>
    <w:p w14:paraId="38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приложение № 4 «Распределение бюджетных ассигнований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 и на плановый период 2026 и 2027 годов» к Решению изложить в новой редакции согласно приложению № 4 к настоящему решению;</w:t>
      </w:r>
    </w:p>
    <w:p w14:paraId="39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приложение № 5 «Ведомственная структура расходов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color w:val="000000"/>
          <w:sz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видов расходов классификации расходов бюджетов на 2025 год и на плановый период 2026 и 2027 годов» к Решению изложить в новой редакции согласно приложению № 5 к настоящему решению;</w:t>
      </w:r>
    </w:p>
    <w:p w14:paraId="3A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приложение № 6 «Распределение бюджетных ассигнований бюджета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color w:val="000000"/>
          <w:sz w:val="28"/>
        </w:rPr>
        <w:t xml:space="preserve"> по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 и на плановый период 2026 и 2027 годов» к Решению изложить в новой редакции с</w:t>
      </w:r>
      <w:r>
        <w:rPr>
          <w:rFonts w:ascii="Times New Roman" w:hAnsi="Times New Roman"/>
          <w:color w:val="000000"/>
          <w:sz w:val="28"/>
        </w:rPr>
        <w:t>огласно приложению № 6 к настоящему решению;</w:t>
      </w:r>
    </w:p>
    <w:p w14:paraId="3B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11) Приложение № 7  «О</w:t>
      </w:r>
      <w:r>
        <w:rPr>
          <w:rFonts w:ascii="Times New Roman" w:hAnsi="Times New Roman"/>
          <w:sz w:val="28"/>
        </w:rPr>
        <w:t xml:space="preserve">бщий объем бюджетных ассигнований, направляемых на исполнение публичных нормативных обязательств Кашинского муниципального округа Тверской области на 2025 год </w:t>
      </w:r>
      <w:r>
        <w:rPr>
          <w:rFonts w:ascii="Times New Roman" w:hAnsi="Times New Roman"/>
          <w:color w:val="000000"/>
          <w:sz w:val="28"/>
        </w:rPr>
        <w:t xml:space="preserve"> и на плановый период 2026 и 2027 годов» к Решению изложить в новой редакции</w:t>
      </w:r>
      <w:r>
        <w:rPr>
          <w:rFonts w:ascii="Times New Roman" w:hAnsi="Times New Roman"/>
          <w:sz w:val="28"/>
        </w:rPr>
        <w:t xml:space="preserve"> согласно приложению № 7 к настоящему решению.</w:t>
      </w:r>
    </w:p>
    <w:p w14:paraId="3C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3D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Настоящее решение вступает в силу со дня его принятия, подлежит официальному опубликованию в газете «Кашинская газета» и </w:t>
      </w:r>
      <w:r>
        <w:rPr>
          <w:rFonts w:ascii="Times New Roman" w:hAnsi="Times New Roman"/>
          <w:color w:val="000000"/>
          <w:sz w:val="28"/>
        </w:rPr>
        <w:t xml:space="preserve">размещению на официальном сайте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  <w:r>
        <w:rPr>
          <w:rFonts w:ascii="Times New Roman" w:hAnsi="Times New Roman"/>
          <w:color w:val="000000"/>
          <w:sz w:val="28"/>
        </w:rPr>
        <w:t>Тверской области</w:t>
      </w:r>
      <w:r>
        <w:rPr>
          <w:rFonts w:ascii="Times New Roman" w:hAnsi="Times New Roman"/>
          <w:color w:val="000000"/>
          <w:sz w:val="28"/>
        </w:rPr>
        <w:t xml:space="preserve"> в информационно- </w:t>
      </w:r>
      <w:r>
        <w:rPr>
          <w:rFonts w:ascii="Times New Roman" w:hAnsi="Times New Roman"/>
          <w:color w:val="000000"/>
          <w:sz w:val="28"/>
        </w:rPr>
        <w:t>телекоммуникационной сети «Интернет».</w:t>
      </w:r>
    </w:p>
    <w:p w14:paraId="3E000000">
      <w:pPr>
        <w:widowControl w:val="1"/>
        <w:spacing w:after="0" w:before="0"/>
        <w:ind w:firstLine="0" w:left="0" w:right="-1"/>
        <w:jc w:val="both"/>
        <w:rPr>
          <w:rFonts w:ascii="Tms Rmn&quot;" w:hAnsi="Tms Rmn&quot;"/>
          <w:sz w:val="20"/>
        </w:rPr>
      </w:pPr>
      <w:r>
        <w:rPr>
          <w:rFonts w:ascii="Times New Roman&quot;" w:hAnsi="Times New Roman&quot;"/>
          <w:sz w:val="28"/>
        </w:rPr>
        <w:t> </w:t>
      </w:r>
    </w:p>
    <w:p w14:paraId="3F000000">
      <w:pPr>
        <w:widowControl w:val="1"/>
        <w:spacing w:after="0" w:before="0"/>
        <w:ind w:firstLine="0" w:left="0" w:right="-1"/>
        <w:jc w:val="both"/>
        <w:rPr>
          <w:rFonts w:ascii="Tms Rmn&quot;" w:hAnsi="Tms Rmn&quot;"/>
          <w:sz w:val="20"/>
        </w:rPr>
      </w:pPr>
      <w:r>
        <w:rPr>
          <w:rFonts w:ascii="Times New Roman&quot;" w:hAnsi="Times New Roman&quot;"/>
          <w:sz w:val="28"/>
        </w:rPr>
        <w:t> </w:t>
      </w:r>
    </w:p>
    <w:p w14:paraId="40000000">
      <w:pPr>
        <w:pStyle w:val="Style_2"/>
      </w:pPr>
    </w:p>
    <w:p w14:paraId="41000000">
      <w:pPr>
        <w:pStyle w:val="Style_2"/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9"/>
        <w:gridCol w:w="4129"/>
      </w:tblGrid>
      <w:tr>
        <w:tc>
          <w:tcPr>
            <w:tcW w:type="dxa" w:w="5509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pStyle w:val="Style_2"/>
              <w:widowControl w:val="0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Председатель </w:t>
            </w:r>
            <w:r>
              <w:rPr>
                <w:rFonts w:ascii="XO Thames" w:hAnsi="XO Thames"/>
                <w:sz w:val="28"/>
              </w:rPr>
              <w:t xml:space="preserve">Думы Кашинского </w:t>
            </w:r>
          </w:p>
          <w:p w14:paraId="43000000">
            <w:pPr>
              <w:pStyle w:val="Style_2"/>
              <w:widowControl w:val="1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муниципального округа Тверской области</w:t>
            </w:r>
          </w:p>
        </w:tc>
        <w:tc>
          <w:tcPr>
            <w:tcW w:type="dxa" w:w="412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pStyle w:val="Style_2"/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z w:val="28"/>
              </w:rPr>
              <w:t>Мурашова</w:t>
            </w:r>
          </w:p>
        </w:tc>
      </w:tr>
    </w:tbl>
    <w:p w14:paraId="45000000">
      <w:pPr>
        <w:pStyle w:val="Style_2"/>
      </w:pPr>
    </w:p>
    <w:p w14:paraId="46000000">
      <w:pPr>
        <w:pStyle w:val="Style_2"/>
        <w:rPr>
          <w:sz w:val="28"/>
        </w:rPr>
      </w:pPr>
      <w:r>
        <w:rPr>
          <w:sz w:val="28"/>
        </w:rPr>
        <w:t xml:space="preserve">И.о. Главы Кашинского </w:t>
      </w:r>
      <w:r>
        <w:rPr>
          <w:rFonts w:ascii="Times New Roman" w:hAnsi="Times New Roman"/>
          <w:color w:val="000000"/>
          <w:sz w:val="28"/>
        </w:rPr>
        <w:t xml:space="preserve">муниципального </w:t>
      </w:r>
    </w:p>
    <w:p w14:paraId="47000000">
      <w:pPr>
        <w:pStyle w:val="Style_2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округа </w:t>
      </w:r>
      <w:r>
        <w:rPr>
          <w:rFonts w:ascii="Times New Roman" w:hAnsi="Times New Roman"/>
          <w:color w:val="000000"/>
          <w:sz w:val="28"/>
        </w:rPr>
        <w:t xml:space="preserve">Тверской области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С. В. Суханова</w:t>
      </w:r>
    </w:p>
    <w:sectPr>
      <w:pgSz w:h="16848" w:orient="portrait" w:w="11908"/>
      <w:pgMar w:bottom="1134" w:footer="1134" w:header="1134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widowControl w:val="1"/>
      <w:ind w:firstLine="0" w:left="200"/>
    </w:pPr>
    <w:rPr>
      <w:sz w:val="28"/>
    </w:rPr>
  </w:style>
  <w:style w:styleId="Style_3_ch" w:type="character">
    <w:name w:val="toc 2"/>
    <w:basedOn w:val="Style_2_ch"/>
    <w:link w:val="Style_3"/>
    <w:rPr>
      <w:sz w:val="28"/>
    </w:rPr>
  </w:style>
  <w:style w:styleId="Style_4" w:type="paragraph">
    <w:name w:val="toc 4"/>
    <w:basedOn w:val="Style_2"/>
    <w:next w:val="Style_2"/>
    <w:link w:val="Style_4_ch"/>
    <w:uiPriority w:val="39"/>
    <w:pPr>
      <w:widowControl w:val="1"/>
      <w:ind w:firstLine="0" w:left="600"/>
    </w:pPr>
    <w:rPr>
      <w:sz w:val="28"/>
    </w:rPr>
  </w:style>
  <w:style w:styleId="Style_4_ch" w:type="character">
    <w:name w:val="toc 4"/>
    <w:basedOn w:val="Style_2_ch"/>
    <w:link w:val="Style_4"/>
    <w:rPr>
      <w:sz w:val="28"/>
    </w:rPr>
  </w:style>
  <w:style w:styleId="Style_5" w:type="paragraph">
    <w:name w:val="toc 6"/>
    <w:basedOn w:val="Style_2"/>
    <w:next w:val="Style_2"/>
    <w:link w:val="Style_5_ch"/>
    <w:uiPriority w:val="39"/>
    <w:pPr>
      <w:widowControl w:val="1"/>
      <w:ind w:firstLine="0" w:left="1000"/>
    </w:pPr>
    <w:rPr>
      <w:sz w:val="28"/>
    </w:rPr>
  </w:style>
  <w:style w:styleId="Style_5_ch" w:type="character">
    <w:name w:val="toc 6"/>
    <w:basedOn w:val="Style_2_ch"/>
    <w:link w:val="Style_5"/>
    <w:rPr>
      <w:sz w:val="28"/>
    </w:rPr>
  </w:style>
  <w:style w:styleId="Style_6" w:type="paragraph">
    <w:name w:val="toc 7"/>
    <w:basedOn w:val="Style_2"/>
    <w:next w:val="Style_2"/>
    <w:link w:val="Style_6_ch"/>
    <w:uiPriority w:val="39"/>
    <w:pPr>
      <w:widowControl w:val="1"/>
      <w:ind w:firstLine="0" w:left="1200"/>
    </w:pPr>
    <w:rPr>
      <w:sz w:val="28"/>
    </w:rPr>
  </w:style>
  <w:style w:styleId="Style_6_ch" w:type="character">
    <w:name w:val="toc 7"/>
    <w:basedOn w:val="Style_2_ch"/>
    <w:link w:val="Style_6"/>
    <w:rPr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basedOn w:val="Style_2_ch"/>
    <w:link w:val="Style_8"/>
    <w:rPr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бычный1"/>
    <w:link w:val="Style_11_ch"/>
    <w:rPr>
      <w:sz w:val="28"/>
    </w:rPr>
  </w:style>
  <w:style w:styleId="Style_11_ch" w:type="character">
    <w:name w:val="Обычный1"/>
    <w:link w:val="Style_11"/>
    <w:rPr>
      <w:sz w:val="28"/>
    </w:rPr>
  </w:style>
  <w:style w:styleId="Style_12" w:type="paragraph">
    <w:name w:val="toc 3"/>
    <w:basedOn w:val="Style_2"/>
    <w:next w:val="Style_2"/>
    <w:link w:val="Style_12_ch"/>
    <w:uiPriority w:val="39"/>
    <w:pPr>
      <w:widowControl w:val="1"/>
      <w:ind w:firstLine="0" w:left="400"/>
    </w:pPr>
    <w:rPr>
      <w:sz w:val="28"/>
    </w:rPr>
  </w:style>
  <w:style w:styleId="Style_12_ch" w:type="character">
    <w:name w:val="toc 3"/>
    <w:basedOn w:val="Style_2_ch"/>
    <w:link w:val="Style_12"/>
    <w:rPr>
      <w:sz w:val="28"/>
    </w:rPr>
  </w:style>
  <w:style w:styleId="Style_13" w:type="paragraph">
    <w:name w:val="Обычный1"/>
    <w:link w:val="Style_13_ch"/>
    <w:rPr>
      <w:sz w:val="28"/>
    </w:rPr>
  </w:style>
  <w:style w:styleId="Style_13_ch" w:type="character">
    <w:name w:val="Обычный1"/>
    <w:link w:val="Style_13"/>
    <w:rPr>
      <w:sz w:val="28"/>
    </w:rPr>
  </w:style>
  <w:style w:styleId="Style_14" w:type="paragraph">
    <w:name w:val="heading 5"/>
    <w:basedOn w:val="Style_2"/>
    <w:next w:val="Style_2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b w:val="1"/>
      <w:sz w:val="22"/>
    </w:rPr>
  </w:style>
  <w:style w:styleId="Style_14_ch" w:type="character">
    <w:name w:val="heading 5"/>
    <w:basedOn w:val="Style_2_ch"/>
    <w:link w:val="Style_14"/>
    <w:rPr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b w:val="1"/>
      <w:sz w:val="32"/>
    </w:rPr>
  </w:style>
  <w:style w:styleId="Style_15_ch" w:type="character">
    <w:name w:val="heading 1"/>
    <w:basedOn w:val="Style_2_ch"/>
    <w:link w:val="Style_15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sz w:val="22"/>
    </w:rPr>
  </w:style>
  <w:style w:styleId="Style_17_ch" w:type="character">
    <w:name w:val="Footnote"/>
    <w:link w:val="Style_17"/>
    <w:rPr>
      <w:sz w:val="22"/>
    </w:rPr>
  </w:style>
  <w:style w:styleId="Style_18" w:type="paragraph">
    <w:name w:val="toc 1"/>
    <w:basedOn w:val="Style_2"/>
    <w:next w:val="Style_2"/>
    <w:link w:val="Style_18_ch"/>
    <w:uiPriority w:val="39"/>
    <w:rPr>
      <w:b w:val="1"/>
      <w:sz w:val="28"/>
    </w:rPr>
  </w:style>
  <w:style w:styleId="Style_18_ch" w:type="character">
    <w:name w:val="toc 1"/>
    <w:basedOn w:val="Style_2_ch"/>
    <w:link w:val="Style_18"/>
    <w:rPr>
      <w:b w:val="1"/>
      <w:sz w:val="28"/>
    </w:rPr>
  </w:style>
  <w:style w:styleId="Style_19" w:type="paragraph">
    <w:name w:val="Header and Footer"/>
    <w:link w:val="Style_19_ch"/>
    <w:pPr>
      <w:widowControl w:val="1"/>
      <w:ind/>
      <w:jc w:val="both"/>
    </w:pPr>
    <w:rPr>
      <w:sz w:val="20"/>
    </w:rPr>
  </w:style>
  <w:style w:styleId="Style_19_ch" w:type="character">
    <w:name w:val="Header and Footer"/>
    <w:link w:val="Style_19"/>
    <w:rPr>
      <w:sz w:val="20"/>
    </w:rPr>
  </w:style>
  <w:style w:styleId="Style_20" w:type="paragraph">
    <w:name w:val="toc 9"/>
    <w:basedOn w:val="Style_2"/>
    <w:next w:val="Style_2"/>
    <w:link w:val="Style_20_ch"/>
    <w:uiPriority w:val="39"/>
    <w:pPr>
      <w:widowControl w:val="1"/>
      <w:ind w:firstLine="0" w:left="1600"/>
    </w:pPr>
    <w:rPr>
      <w:sz w:val="28"/>
    </w:rPr>
  </w:style>
  <w:style w:styleId="Style_20_ch" w:type="character">
    <w:name w:val="toc 9"/>
    <w:basedOn w:val="Style_2_ch"/>
    <w:link w:val="Style_20"/>
    <w:rPr>
      <w:sz w:val="28"/>
    </w:rPr>
  </w:style>
  <w:style w:styleId="Style_21" w:type="paragraph">
    <w:name w:val="toc 8"/>
    <w:basedOn w:val="Style_2"/>
    <w:next w:val="Style_2"/>
    <w:link w:val="Style_21_ch"/>
    <w:uiPriority w:val="39"/>
    <w:pPr>
      <w:widowControl w:val="1"/>
      <w:ind w:firstLine="0" w:left="1400"/>
    </w:pPr>
    <w:rPr>
      <w:sz w:val="28"/>
    </w:rPr>
  </w:style>
  <w:style w:styleId="Style_21_ch" w:type="character">
    <w:name w:val="toc 8"/>
    <w:basedOn w:val="Style_2_ch"/>
    <w:link w:val="Style_21"/>
    <w:rPr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basedOn w:val="Style_2"/>
    <w:next w:val="Style_2"/>
    <w:link w:val="Style_23_ch"/>
    <w:uiPriority w:val="39"/>
    <w:pPr>
      <w:widowControl w:val="1"/>
      <w:ind w:firstLine="0" w:left="800"/>
    </w:pPr>
    <w:rPr>
      <w:sz w:val="28"/>
    </w:rPr>
  </w:style>
  <w:style w:styleId="Style_23_ch" w:type="character">
    <w:name w:val="toc 5"/>
    <w:basedOn w:val="Style_2_ch"/>
    <w:link w:val="Style_23"/>
    <w:rPr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Subtitle"/>
    <w:basedOn w:val="Style_2"/>
    <w:next w:val="Style_2"/>
    <w:link w:val="Style_25_ch"/>
    <w:uiPriority w:val="11"/>
    <w:qFormat/>
    <w:pPr>
      <w:widowControl w:val="1"/>
      <w:ind/>
      <w:jc w:val="both"/>
    </w:pPr>
    <w:rPr>
      <w:i w:val="1"/>
    </w:rPr>
  </w:style>
  <w:style w:styleId="Style_25_ch" w:type="character">
    <w:name w:val="Subtitle"/>
    <w:basedOn w:val="Style_2_ch"/>
    <w:link w:val="Style_25"/>
    <w:rPr>
      <w:i w:val="1"/>
    </w:rPr>
  </w:style>
  <w:style w:styleId="Style_26" w:type="paragraph">
    <w:name w:val="Title"/>
    <w:basedOn w:val="Style_2"/>
    <w:next w:val="Style_2"/>
    <w:link w:val="Style_26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26_ch" w:type="character">
    <w:name w:val="Title"/>
    <w:basedOn w:val="Style_2_ch"/>
    <w:link w:val="Style_26"/>
    <w:rPr>
      <w:b w:val="1"/>
      <w:caps w:val="1"/>
      <w:sz w:val="40"/>
    </w:rPr>
  </w:style>
  <w:style w:styleId="Style_27" w:type="paragraph">
    <w:name w:val="heading 4"/>
    <w:basedOn w:val="Style_2"/>
    <w:next w:val="Style_2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b w:val="1"/>
    </w:rPr>
  </w:style>
  <w:style w:styleId="Style_27_ch" w:type="character">
    <w:name w:val="heading 4"/>
    <w:basedOn w:val="Style_2_ch"/>
    <w:link w:val="Style_27"/>
    <w:rPr>
      <w:b w:val="1"/>
    </w:rPr>
  </w:style>
  <w:style w:styleId="Style_28" w:type="paragraph">
    <w:name w:val="heading 2"/>
    <w:basedOn w:val="Style_2"/>
    <w:next w:val="Style_2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b w:val="1"/>
      <w:sz w:val="28"/>
    </w:rPr>
  </w:style>
  <w:style w:styleId="Style_28_ch" w:type="character">
    <w:name w:val="heading 2"/>
    <w:basedOn w:val="Style_2_ch"/>
    <w:link w:val="Style_28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2025-02-26T05:23:30Z</dcterms:modified>
</cp:coreProperties>
</file>